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before="1400"/>
        <w:jc w:val="center"/>
      </w:pPr>
      <w:r>
        <w:rPr>
          <w:rFonts w:ascii="Liberation Sans" w:hAnsi="Liberation Sans"/>
          <w:b/>
          <w:color w:val="243436"/>
          <w:sz w:val="56"/>
        </w:rPr>
        <w:t>RECONSTRUCTION,</w:t>
        <w:br/>
        <w:t>PROVENANCE ET REPRISE</w:t>
      </w:r>
    </w:p>
    <w:p>
      <w:pPr>
        <w:keepLines/>
        <w:jc w:val="center"/>
      </w:pPr>
      <w:r>
        <w:rPr>
          <w:rFonts w:ascii="Liberation Serif" w:hAnsi="Liberation Serif"/>
          <w:i/>
          <w:color w:val="6B6F72"/>
          <w:sz w:val="28"/>
        </w:rPr>
        <w:t>Structures mathématiques de l’information manquante,</w:t>
        <w:br/>
        <w:t>des régimes de possibilité et de la capacité de retour</w:t>
      </w:r>
    </w:p>
    <w:p>
      <w:pPr>
        <w:keepLines/>
        <w:spacing w:before="680"/>
        <w:jc w:val="center"/>
      </w:pPr>
      <w:r>
        <w:rPr>
          <w:rFonts w:ascii="Liberation Sans" w:hAnsi="Liberation Sans"/>
          <w:b/>
          <w:color w:val="2E5D62"/>
          <w:sz w:val="26"/>
        </w:rPr>
        <w:t>Alexandre Couret</w:t>
      </w:r>
    </w:p>
    <w:p>
      <w:pPr>
        <w:keepLines/>
        <w:jc w:val="center"/>
      </w:pPr>
      <w:r>
        <w:t>Manuscrit de travail consolidé — version 0.15-C</w:t>
      </w:r>
    </w:p>
    <w:p>
      <w:pPr>
        <w:keepLines/>
        <w:jc w:val="center"/>
      </w:pPr>
      <w:r>
        <w:t>État cumulatif le plus avancé au 21 août 2026</w:t>
      </w:r>
    </w:p>
    <w:p>
      <w:pPr>
        <w:keepLines/>
        <w:spacing w:before="880"/>
        <w:jc w:val="center"/>
      </w:pPr>
      <w:r>
        <w:rPr>
          <w:rFonts w:ascii="Liberation Serif" w:hAnsi="Liberation Serif" w:eastAsia="Liberation Serif"/>
          <w:b w:val="0"/>
          <w:i/>
          <w:color w:val="7A4E2D"/>
          <w:sz w:val="20"/>
        </w:rPr>
        <w:t>« La reconstruction qualifie les distinctions encore déterminables ; la reprise qualifie les actions encore possibles ; la provenance qualifie les chemins qui les ont produites. »</w:t>
      </w:r>
    </w:p>
    <w:p>
      <w:pPr>
        <w:keepLines/>
        <w:spacing w:before="1000"/>
        <w:jc w:val="center"/>
      </w:pPr>
      <w:r>
        <w:rPr>
          <w:rFonts w:ascii="Liberation Sans" w:hAnsi="Liberation Sans"/>
          <w:color w:val="6B6F72"/>
          <w:sz w:val="17"/>
        </w:rPr>
        <w:t>Document de recherche — aucun résultat ne reçoit un statut supérieur à celui de son artefact</w:t>
      </w:r>
    </w:p>
    <w:p>
      <w:r/>
    </w:p>
    <w:p>
      <w:pPr>
        <w:pStyle w:val="Heading1"/>
        <w:keepNext/>
      </w:pPr>
      <w:r>
        <w:t>Nature de cette version</w:t>
      </w:r>
    </w:p>
    <w:p>
      <w:pPr>
        <w:spacing w:after="100" w:line="259" w:lineRule="auto"/>
        <w:ind w:firstLine="317"/>
      </w:pPr>
      <w:r>
        <w:t>Cette version reprend intégralement la v0.12-B et lui ajoute un repositionnement scientifique complet. Elle met la Partie I sous une forme normale graphique, distingue le prix global d’un nouveau codage du coût exact d’un supplément ajouté à un code déjà détenu, situe UReach dans la sémantique de la planification conforme déterministe, tire les conséquences de l’universalité de THM-B-FILT, remplace la compressibilité dynamique scalaire par un profil multicritère, introduit les fibres de réalisation comme objet transversal et rétrograde R1-3 à sa forme conditionnelle exacte.</w:t>
      </w:r>
    </w:p>
    <w:p>
      <w:pPr>
        <w:spacing w:after="100" w:line="259" w:lineRule="auto"/>
        <w:ind w:firstLine="317"/>
      </w:pPr>
      <w:r>
        <w:t>Le document présente l’état cumulatif le plus avancé du manuscrit, sans constituer un certificat de nouveauté ni se substituer à une revue par les pairs. Les Parties I et II deviennent le socle classique reconstruit, adapté et mis en ordre. Les candidats principaux à une contribution propre se concentrent désormais sur le couplage cible–coût one-shot–action partielle–horizon–provenance, puis sur l’étude des fibres de réalisation : pluralité des mécanismes, profils minimaux, partages de structure et absence éventuelle de sélection canonique.</w:t>
      </w:r>
    </w:p>
    <w:tbl>
      <w:tblPr>
        <w:tblW w:type="auto" w:w="0"/>
        <w:jc w:val="center"/>
        <w:tblLayout w:type="fixed"/>
        <w:tblLook w:firstColumn="1" w:firstRow="1" w:lastColumn="0" w:lastRow="0" w:noHBand="0" w:noVBand="1" w:val="04A0"/>
      </w:tblPr>
      <w:tblGrid>
        <w:gridCol w:w="9821"/>
      </w:tblGrid>
      <w:tr>
        <w:trPr>
          <w:cantSplit/>
        </w:trPr>
        <w:tc>
          <w:tcPr>
            <w:tcW w:type="dxa" w:w="8856"/>
            <w:shd w:fill="F7F8F8"/>
            <w:tcMar>
              <w:top w:w="120" w:type="dxa"/>
              <w:start w:w="150" w:type="dxa"/>
              <w:bottom w:w="120" w:type="dxa"/>
              <w:end w:w="150" w:type="dxa"/>
              <w:left w:w="100" w:type="dxa"/>
              <w:right w:w="100" w:type="dxa"/>
            </w:tcMar>
            <w:vAlign w:val="center"/>
          </w:tcPr>
          <w:p>
            <w:pPr>
              <w:spacing w:after="40"/>
            </w:pPr>
            <w:r/>
            <w:r>
              <w:rPr>
                <w:b/>
              </w:rPr>
              <w:t>Avancées propres à la v0.13-A</w:t>
            </w:r>
          </w:p>
          <w:p>
            <w:pPr>
              <w:spacing w:before="60" w:after="40"/>
            </w:pPr>
            <w:r>
              <w:t>1) forme normale graphique de la reconstruction par graphe de conflit ; 2) interprétation du coût cardinal comme nombre chromatique d’une union de graphes multipartites complets ; 3) coût exact du supplément ajouté à un code déjà détenu ; 4) séparation entre prix d’un recodage global et résidu local d’un code concret ; 5) identification de UReach à la sémantique conforme déterministe, sans réduction de la filtration globale ; 6) introduction de la fibre des réalisations d’une filtration ; 7) définition du profil multicritère CompDyn ; 8) programme de bornes par résidus ; 9) diagramme de Nerode restauré sur les familles de cibles ; 10) rétrogradation de R1-3 à un théorème conditionnel ; 11) protocole PA d’antériorité daté ; 12) recentrage doctoral sur ce que l’extensionnel ne détermine pas de ses réalisations.</w:t>
            </w:r>
          </w:p>
        </w:tc>
      </w:tr>
    </w:tbl>
    <w:p>
      <w:pPr>
        <w:spacing w:after="0"/>
      </w:pPr>
    </w:p>
    <w:p>
      <w:pPr>
        <w:pStyle w:val="Heading1"/>
        <w:keepNext/>
      </w:pPr>
      <w:r>
        <w:t>Avertissement méthodologique</w:t>
      </w:r>
    </w:p>
    <w:p>
      <w:pPr>
        <w:spacing w:after="100" w:line="259" w:lineRule="auto"/>
        <w:ind w:firstLine="317"/>
      </w:pPr>
      <w:r>
        <w:rPr>
          <w:rFonts w:ascii="Liberation Serif" w:hAnsi="Liberation Serif"/>
          <w:i w:val="0"/>
          <w:sz w:val="21"/>
        </w:rPr>
        <w:t>Ce manuscrit rassemble des définitions, des preuves, des résultats conditionnels, des attestations machine, des modèles finis, des cas empiriques externes et des programmes de recherche. Leur proximité éditoriale ne modifie jamais leur statut. Une démonstration humaine, une exécution reproductible, une formalisation, une attribution bibliographique et une revendication d’originalité sont cinq objets distincts.</w:t>
      </w:r>
    </w:p>
    <w:p>
      <w:pPr>
        <w:keepLines/>
        <w:spacing w:before="80" w:after="120"/>
        <w:jc w:val="center"/>
      </w:pPr>
      <w:r>
        <w:rPr>
          <w:rFonts w:ascii="DejaVu Serif" w:hAnsi="DejaVu Serif"/>
          <w:i/>
          <w:color w:val="243436"/>
          <w:sz w:val="22"/>
        </w:rPr>
        <w:t>Énoncé vrai  ≠  preuve disponible  ≠  artefact opposable  ≠  résultat historiquement nouveau  ≠  interprétation globale</w:t>
      </w:r>
    </w:p>
    <w:p>
      <w:pPr>
        <w:spacing w:after="100" w:line="259" w:lineRule="auto"/>
        <w:ind w:firstLine="317"/>
      </w:pPr>
      <w:r>
        <w:rPr>
          <w:rFonts w:ascii="Liberation Serif" w:hAnsi="Liberation Serif" w:eastAsia="Liberation Serif"/>
          <w:b w:val="0"/>
          <w:i w:val="0"/>
        </w:rPr>
        <w:t>La notation [D] désigne un résultat démontré dans le cadre déclaré ; [D_L] un résultat démontré et attesté dans un artefact Lean identifié ; [M] une mesure ou un calcul reproductible ; [E] un résultat externe à sourcer ; [F] une définition ou convention ; [R] une décision architecturale ratifiée ; [T] une construction retenue sous réserve ; [P] une proposition ou dette de recherche ; [H] une heuristique ; [C] une conjecture ; [O] un problème ouvert ; [X] une formulation retirée. Le statut bibliographique est porté séparément par un dossier PA daté ; aucun symbole logique n’emporte à lui seul une revendication d’inédit.</w:t>
      </w:r>
    </w:p>
    <w:tbl>
      <w:tblPr>
        <w:tblW w:type="auto" w:w="0"/>
        <w:jc w:val="center"/>
        <w:tblLayout w:type="fixed"/>
        <w:tblLook w:firstColumn="1" w:firstRow="1" w:lastColumn="0" w:lastRow="0" w:noHBand="0" w:noVBand="1" w:val="04A0"/>
      </w:tblPr>
      <w:tblGrid>
        <w:gridCol w:w="9821"/>
      </w:tblGrid>
      <w:tr>
        <w:trPr>
          <w:cantSplit/>
        </w:trPr>
        <w:tc>
          <w:tcPr>
            <w:tcW w:type="dxa" w:w="8856"/>
            <w:shd w:fill="F4EEE8"/>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7A4E2D"/>
                <w:sz w:val="20"/>
              </w:rPr>
              <w:t>Principe souverain</w:t>
            </w:r>
          </w:p>
          <w:p>
            <w:pPr>
              <w:keepLines/>
              <w:spacing w:after="40" w:line="252" w:lineRule="auto"/>
            </w:pPr>
            <w:r>
              <w:rPr>
                <w:rFonts w:ascii="Liberation Serif" w:hAnsi="Liberation Serif"/>
                <w:sz w:val="20"/>
              </w:rPr>
              <w:t>La machine atteste ; l’humain statue ; le réel ratifie ou refuse. Aucun changement d’interprétation ne crée à lui seul un théorème nouveau.</w:t>
            </w:r>
          </w:p>
        </w:tc>
      </w:tr>
    </w:tbl>
    <w:p>
      <w:pPr>
        <w:spacing w:after="0"/>
      </w:pPr>
    </w:p>
    <w:p>
      <w:pPr>
        <w:pStyle w:val="Heading1"/>
        <w:keepNext/>
      </w:pPr>
      <w:r>
        <w:t>Résumé non technique</w:t>
      </w:r>
    </w:p>
    <w:p>
      <w:pPr>
        <w:spacing w:after="100" w:line="259" w:lineRule="auto"/>
        <w:ind w:firstLine="317"/>
      </w:pPr>
      <w:r>
        <w:rPr>
          <w:rFonts w:ascii="Liberation Serif" w:hAnsi="Liberation Serif"/>
          <w:i w:val="0"/>
          <w:sz w:val="21"/>
        </w:rPr>
        <w:t>Cette thèse étudie ce qu’il faut conserver lorsqu’une observation, une compression, une transformation ou une décision efface des différences entre plusieurs états. Une propriété peut rester reconstructible si une information supplémentaire — un code, une archive, une distinction, un journal ou une ressource — complète ce qui demeure visible.</w:t>
      </w:r>
    </w:p>
    <w:p>
      <w:pPr>
        <w:spacing w:after="100" w:line="259" w:lineRule="auto"/>
        <w:ind w:firstLine="317"/>
      </w:pPr>
      <w:r>
        <w:rPr>
          <w:rFonts w:ascii="Liberation Serif" w:hAnsi="Liberation Serif"/>
          <w:i w:val="0"/>
          <w:sz w:val="21"/>
        </w:rPr>
        <w:t>La première partie classe les suppléments par les distinctions qu’ils conservent. La présente version montre que, dans le cadre fini déterministe, cette théorie possède une forme normale graphique : reconstruire une cible revient à colorer proprement un graphe de conflit. Cette traduction situe les résultats de quotient, de noyau et de coût dans un socle classique, tout en conservant leur fonction architecturale.</w:t>
      </w:r>
    </w:p>
    <w:p>
      <w:pPr>
        <w:spacing w:after="100" w:line="259" w:lineRule="auto"/>
        <w:ind w:firstLine="317"/>
      </w:pPr>
      <w:r>
        <w:rPr>
          <w:rFonts w:ascii="Liberation Serif" w:hAnsi="Liberation Serif"/>
          <w:i w:val="0"/>
          <w:sz w:val="21"/>
        </w:rPr>
        <w:t>La thèse sépare ensuite la taille d’un code de la manière dont il répartit ses distinctions. Deux codes de même taille peuvent avoir le même pouvoir actuel mais des coûts de réouverture différents. L’information déjà détenue ne se soustrait pas comme un nombre : la géométrie de la partition qu’elle induit décide des distinctions encore nécessaires.</w:t>
      </w:r>
    </w:p>
    <w:p>
      <w:pPr>
        <w:spacing w:after="100" w:line="259" w:lineRule="auto"/>
        <w:ind w:firstLine="317"/>
      </w:pPr>
      <w:r>
        <w:rPr>
          <w:rFonts w:ascii="Liberation Serif" w:hAnsi="Liberation Serif" w:eastAsia="Liberation Serif"/>
          <w:b w:val="0"/>
          <w:i w:val="0"/>
        </w:rPr>
        <w:t>Une seconde séparation concerne le futur. Un autre code de même taille peut exister abstraitement sans pouvoir être produit à partir du code détenu ; une archive peut être lisible ou seulement récupérable ; une action peut restaurer une cible sans permettre d’identifier l’état initial. Ces différences sont désormais formulées sans confondre recodage global, supplément local, acquisition et pouvoir d’action.</w:t>
      </w:r>
    </w:p>
    <w:p>
      <w:pPr>
        <w:spacing w:after="100" w:line="259" w:lineRule="auto"/>
        <w:ind w:firstLine="317"/>
      </w:pPr>
      <w:r>
        <w:rPr>
          <w:rFonts w:ascii="Liberation Serif" w:hAnsi="Liberation Serif" w:eastAsia="Liberation Serif"/>
          <w:b w:val="0"/>
          <w:i w:val="0"/>
        </w:rPr>
        <w:t>Enfin, reconstruction, restauration et provenance sont traitées comme trois occurrences d’un même problème : un comportement observable peut admettre plusieurs mécanismes internes, plusieurs réalisations minimales et aucune sélection canonique. Les codes, les régimes d’action et les histoires deviennent trois fibres de réalisation à comparer.</w:t>
      </w:r>
    </w:p>
    <w:p>
      <w:pPr/>
      <w:r>
        <w:rPr>
          <w:b w:val="0"/>
          <w:i w:val="0"/>
        </w:rPr>
        <w:t>La restauration uniforme est enregistrée par une filtration de complexes simpliciaux. Comme toute filtration finie admissible est réalisable avec auxiliaires, la question décisive n’est plus la réalisabilité brute, mais la structure de sa fibre de réalisations : nombre d’actions, états auxiliaires, taille des tables, horizon, longueur de description et partage des sous-calculs.</w:t>
      </w:r>
    </w:p>
    <w:p>
      <w:pPr>
        <w:pStyle w:val="Heading1"/>
        <w:keepNext/>
      </w:pPr>
      <w:r>
        <w:t>Résumé scientifique</w:t>
      </w:r>
    </w:p>
    <w:p>
      <w:pPr>
        <w:spacing w:after="100" w:line="259" w:lineRule="auto"/>
        <w:ind w:firstLine="317"/>
      </w:pPr>
      <w:r>
        <w:rPr>
          <w:rFonts w:ascii="Liberation Serif" w:hAnsi="Liberation Serif"/>
          <w:i w:val="0"/>
          <w:sz w:val="21"/>
        </w:rPr>
        <w:t>On fixe un ensemble d’états X, une observation π : X → Y et une cible F : X → V. Pour toute application f, Eq(f) désigne la relation d’indiscernabilité induite par f. Un supplément q : X → Q est reconstructif lorsqu’il existe R tel que F = R ∘ ⟨π,q⟩ sur l’image réalisée. Le critère central est :</w:t>
      </w:r>
    </w:p>
    <w:p>
      <w:pPr>
        <w:keepLines/>
        <w:spacing w:before="80" w:after="120"/>
        <w:jc w:val="center"/>
      </w:pPr>
      <w:r>
        <w:rPr>
          <w:rFonts w:ascii="DejaVu Serif" w:hAnsi="DejaVu Serif"/>
          <w:i/>
          <w:color w:val="243436"/>
          <w:sz w:val="22"/>
        </w:rPr>
        <w:t>F = R ∘ ⟨π,q⟩    ⇔    Eq(π) ∩ Eq(q) ⊆ Eq(F).</w:t>
      </w:r>
    </w:p>
    <w:p>
      <w:pPr>
        <w:spacing w:after="100" w:line="259" w:lineRule="auto"/>
        <w:ind w:firstLine="317"/>
      </w:pPr>
      <w:r>
        <w:rPr>
          <w:rFonts w:ascii="Liberation Serif" w:hAnsi="Liberation Serif"/>
          <w:i w:val="0"/>
          <w:sz w:val="21"/>
        </w:rPr>
        <w:t>THM-F0 et THM-L1 fournissent l’infrastructure de quotient et de factorisation. La v0.13-A introduit le graphe de conflit Γ_{π,F}, reliant deux états confondus par π mais séparés par F. Un supplément q est reconstructif exactement lorsqu’il constitue une coloration propre de Γ_{π,F}. Comme ce graphe est une union disjointe de graphes multipartites complets, son nombre chromatique vaut max_y |F(π⁻¹(y))|, ce qui redonne le coût cardinal de THM-L9 et repositionne la Partie I dans la théorie classique des partitions et de la coloration zéro erreur.</w:t>
      </w:r>
    </w:p>
    <w:p>
      <w:pPr>
        <w:spacing w:after="100" w:line="259" w:lineRule="auto"/>
        <w:ind w:firstLine="317"/>
      </w:pPr>
      <w:r>
        <w:rPr>
          <w:rFonts w:ascii="Liberation Serif" w:hAnsi="Liberation Serif" w:eastAsia="Liberation Serif"/>
          <w:b w:val="0"/>
          <w:i w:val="0"/>
        </w:rPr>
        <w:t>L’analyse future distingue désormais deux coûts. Le prix k(F,G)-k(F)=max_y(d_y-s_y) mesure l’augmentation minimale de l’alphabet lors d’un recodage global optimal. Pour un code concret q déjà détenu, le supplément additionnel exact s vérifie plutôt par min|Im s|=max_{y,a}|G(π⁻¹(y)∩q⁻¹(a))|. Cette seconde formule dépend de la partition réelle du code et montre que deux codes de même cardinal peuvent posséder des valeurs de réouverture différentes.</w:t>
      </w:r>
    </w:p>
    <w:p>
      <w:pPr>
        <w:spacing w:before="80" w:after="120"/>
        <w:jc w:val="center"/>
      </w:pPr>
      <w:r>
        <w:t>Le passage à la reprise distingue Reach, UReach et Ctrl. UReach coïncide avec la sémantique d’un plan conforme déterministe sur une croyance initiale, mais la filtration 𝒦_ℛ^(t) rassemble simultanément toutes les sous-croyances et tous les horizons. LEM-B0 conserve exactement cette sémantique sous complétion absorbante ; THM-B-FILT montre que toute filtration finie admissible est réalisable. Il en résulte que la filtration ne caractérise aucun mécanisme dynamique : l’objet nouveau devient sa fibre de réalisations et son profil de complexité multicritère.</w:t>
      </w:r>
    </w:p>
    <w:p>
      <w:pPr>
        <w:spacing w:after="100" w:line="259" w:lineRule="auto"/>
        <w:ind w:firstLine="317"/>
      </w:pPr>
      <w:r>
        <w:t>La provenance est portée par Gen→ExtReg→Obs. R1-3 n’est plus inscrit comme décidé par les seuls axiomes A5-sound/complete/min : minimalité et complétude n’impliquent pas l’unicité d’une histoire élémentaire. La forme démontrable est conditionnelle à cette unicité, à la clôture de R1 et à l’inégalité des deux traces composées. Le principe transversal de la thèse devient l’étude de ce que le comportement extensionnel ne détermine pas de ses mécanismes de production.</w:t>
      </w:r>
    </w:p>
    <w:p>
      <w:pPr>
        <w:pStyle w:val="Heading1"/>
        <w:keepNext/>
        <w:pageBreakBefore w:val="0"/>
      </w:pPr>
      <w:r>
        <w:t>Sommaire</w:t>
      </w:r>
    </w:p>
    <w:tbl>
      <w:tblPr>
        <w:tblW w:type="auto" w:w="0"/>
        <w:jc w:val="center"/>
        <w:tblLayout w:type="fixed"/>
        <w:tblLook w:firstColumn="1" w:firstRow="1" w:lastColumn="0" w:lastRow="0" w:noHBand="0" w:noVBand="1" w:val="04A0"/>
      </w:tblPr>
      <w:tblGrid>
        <w:gridCol w:w="4910"/>
        <w:gridCol w:w="4910"/>
      </w:tblGrid>
      <w:tr>
        <w:trPr>
          <w:cantSplit/>
          <w:tblHeader w:val="true"/>
        </w:trPr>
        <w:tc>
          <w:tcPr>
            <w:tcW w:type="dxa" w:w="1944"/>
            <w:tcMar>
              <w:top w:w="120" w:type="dxa"/>
              <w:start w:w="150" w:type="dxa"/>
              <w:bottom w:w="120" w:type="dxa"/>
              <w:end w:w="150" w:type="dxa"/>
              <w:left w:w="100" w:type="dxa"/>
              <w:right w:w="100" w:type="dxa"/>
            </w:tcMar>
            <w:shd w:fill="DCE8E8"/>
            <w:vAlign w:val="center"/>
          </w:tcPr>
          <w:p>
            <w:pPr>
              <w:keepLines/>
              <w:spacing w:after="40" w:line="252" w:lineRule="auto"/>
            </w:pPr>
            <w:r>
              <w:rPr>
                <w:rFonts w:ascii="Liberation Serif" w:hAnsi="Liberation Serif" w:eastAsia="Liberation Serif"/>
                <w:b/>
                <w:color w:val="2E5D62"/>
                <w:sz w:val="18"/>
              </w:rPr>
              <w:t>Introduction générale</w:t>
            </w:r>
          </w:p>
        </w:tc>
        <w:tc>
          <w:tcPr>
            <w:tcW w:type="dxa" w:w="7416"/>
            <w:tcMar>
              <w:top w:w="120" w:type="dxa"/>
              <w:start w:w="150" w:type="dxa"/>
              <w:bottom w:w="120" w:type="dxa"/>
              <w:end w:w="150" w:type="dxa"/>
              <w:left w:w="100" w:type="dxa"/>
              <w:right w:w="100" w:type="dxa"/>
            </w:tcMar>
            <w:shd w:fill="DCE8E8"/>
            <w:vAlign w:val="center"/>
          </w:tcPr>
          <w:p>
            <w:pPr>
              <w:keepLines/>
              <w:spacing w:after="40" w:line="252" w:lineRule="auto"/>
            </w:pPr>
            <w:r>
              <w:rPr>
                <w:rFonts w:ascii="Liberation Serif" w:hAnsi="Liberation Serif" w:eastAsia="Liberation Serif"/>
                <w:b/>
                <w:sz w:val="18"/>
              </w:rPr>
              <w:t>Du manque d’information à la puissance de retour</w:t>
            </w:r>
          </w:p>
        </w:tc>
      </w:tr>
      <w:tr>
        <w:trPr>
          <w:cantSplit/>
        </w:trPr>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b/>
                <w:color w:val="2E5D62"/>
                <w:sz w:val="18"/>
              </w:rPr>
              <w:t>Partie I</w:t>
            </w:r>
          </w:p>
        </w:tc>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sz w:val="18"/>
              </w:rPr>
              <w:t>Fondations reconstructives — chapitres 1 à 4</w:t>
            </w:r>
          </w:p>
        </w:tc>
      </w:tr>
      <w:tr>
        <w:trPr>
          <w:cantSplit/>
        </w:trPr>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b/>
                <w:color w:val="2E5D62"/>
                <w:sz w:val="18"/>
              </w:rPr>
              <w:t>Partie II</w:t>
            </w:r>
          </w:p>
        </w:tc>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sz w:val="18"/>
              </w:rPr>
              <w:t>Capacités, futurs et non-descente — chapitres 5 et 6</w:t>
            </w:r>
          </w:p>
        </w:tc>
      </w:tr>
      <w:tr>
        <w:trPr>
          <w:cantSplit/>
        </w:trPr>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b/>
                <w:color w:val="2E5D62"/>
                <w:sz w:val="18"/>
              </w:rPr>
              <w:t>Partie III</w:t>
            </w:r>
          </w:p>
        </w:tc>
        <w:tc>
          <w:tcPr>
            <w:tcW w:type="dxa" w:w="4910"/>
            <w:tcMar>
              <w:top w:w="120" w:type="dxa"/>
              <w:start w:w="150" w:type="dxa"/>
              <w:bottom w:w="120" w:type="dxa"/>
              <w:end w:w="150" w:type="dxa"/>
              <w:left w:w="100" w:type="dxa"/>
              <w:right w:w="100" w:type="dxa"/>
            </w:tcMar>
            <w:vAlign w:val="center"/>
          </w:tcPr>
          <w:p>
            <w:pPr>
              <w:spacing w:after="40" w:line="252" w:lineRule="auto"/>
            </w:pPr>
            <w:r>
              <w:t>Régimes d’information, d’action et filtrations — chapitres 7 à 10</w:t>
            </w:r>
          </w:p>
        </w:tc>
      </w:tr>
      <w:tr>
        <w:trPr>
          <w:cantSplit/>
        </w:trPr>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b/>
                <w:color w:val="2E5D62"/>
                <w:sz w:val="18"/>
              </w:rPr>
              <w:t>Partie IV</w:t>
            </w:r>
          </w:p>
        </w:tc>
        <w:tc>
          <w:tcPr>
            <w:tcW w:type="dxa" w:w="4910"/>
            <w:tcMar>
              <w:top w:w="120" w:type="dxa"/>
              <w:start w:w="150" w:type="dxa"/>
              <w:bottom w:w="120" w:type="dxa"/>
              <w:end w:w="150" w:type="dxa"/>
              <w:left w:w="100" w:type="dxa"/>
              <w:right w:w="100" w:type="dxa"/>
            </w:tcMar>
            <w:vAlign w:val="center"/>
          </w:tcPr>
          <w:p>
            <w:pPr>
              <w:spacing w:after="40" w:line="252" w:lineRule="auto"/>
            </w:pPr>
            <w:r>
              <w:t>Provenance, oubli et histoires admissibles — chapitres 11 à 13</w:t>
            </w:r>
          </w:p>
        </w:tc>
      </w:tr>
      <w:tr>
        <w:trPr>
          <w:cantSplit/>
        </w:trPr>
        <w:tc>
          <w:tcPr>
            <w:tcW w:type="dxa" w:w="4910"/>
            <w:tcMar>
              <w:top w:w="120" w:type="dxa"/>
              <w:start w:w="150" w:type="dxa"/>
              <w:bottom w:w="120" w:type="dxa"/>
              <w:end w:w="150" w:type="dxa"/>
              <w:left w:w="100" w:type="dxa"/>
              <w:right w:w="100" w:type="dxa"/>
            </w:tcMar>
            <w:vAlign w:val="center"/>
          </w:tcPr>
          <w:p>
            <w:pPr>
              <w:keepLines/>
              <w:spacing w:after="40" w:line="252" w:lineRule="auto"/>
            </w:pPr>
            <w:r>
              <w:rPr>
                <w:rFonts w:ascii="Liberation Serif" w:hAnsi="Liberation Serif" w:eastAsia="Liberation Serif"/>
                <w:b/>
                <w:color w:val="2E5D62"/>
                <w:sz w:val="18"/>
              </w:rPr>
              <w:t>Partie V</w:t>
            </w:r>
          </w:p>
        </w:tc>
        <w:tc>
          <w:tcPr>
            <w:tcW w:type="dxa" w:w="4910"/>
            <w:tcMar>
              <w:top w:w="120" w:type="dxa"/>
              <w:start w:w="150" w:type="dxa"/>
              <w:bottom w:w="120" w:type="dxa"/>
              <w:end w:w="150" w:type="dxa"/>
              <w:left w:w="100" w:type="dxa"/>
              <w:right w:w="100" w:type="dxa"/>
            </w:tcMar>
            <w:vAlign w:val="center"/>
          </w:tcPr>
          <w:p>
            <w:pPr>
              <w:spacing w:after="40" w:line="252" w:lineRule="auto"/>
            </w:pPr>
            <w:r>
              <w:t>Laboratoires, registre et programme cumulatif — chapitres 14 à 16</w:t>
            </w:r>
          </w:p>
        </w:tc>
      </w:tr>
      <w:tr>
        <w:trPr>
          <w:cantSplit/>
        </w:trPr>
        <w:tc>
          <w:tcPr>
            <w:tcW w:type="dxa" w:w="4910"/>
            <w:tcMar>
              <w:top w:w="120" w:type="dxa"/>
              <w:start w:w="150" w:type="dxa"/>
              <w:bottom w:w="120" w:type="dxa"/>
              <w:end w:w="150" w:type="dxa"/>
            </w:tcMar>
            <w:vAlign w:val="center"/>
          </w:tcPr>
          <w:p>
            <w:pPr>
              <w:spacing w:after="40"/>
            </w:pPr>
            <w:r>
              <w:t>Partie VI</w:t>
            </w:r>
          </w:p>
        </w:tc>
        <w:tc>
          <w:tcPr>
            <w:tcW w:type="dxa" w:w="4910"/>
            <w:tcMar>
              <w:top w:w="120" w:type="dxa"/>
              <w:start w:w="150" w:type="dxa"/>
              <w:bottom w:w="120" w:type="dxa"/>
              <w:end w:w="150" w:type="dxa"/>
            </w:tcMar>
            <w:vAlign w:val="center"/>
          </w:tcPr>
          <w:p>
            <w:pPr>
              <w:spacing w:after="40"/>
            </w:pPr>
            <w:r>
              <w:t>Formes normales, fibres de réalisation et statut scientifique — chapitres 17 à 19</w:t>
            </w:r>
          </w:p>
        </w:tc>
      </w:tr>
    </w:tbl>
    <w:p>
      <w:pPr>
        <w:pStyle w:val="Heading1"/>
        <w:keepNext/>
      </w:pPr>
      <w:r>
        <w:t>Introduction générale — Du manque d’information à la puissance de retour</w:t>
      </w:r>
    </w:p>
    <w:p>
      <w:pPr>
        <w:pStyle w:val="Heading2"/>
        <w:keepNext/>
      </w:pPr>
      <w:r>
        <w:t>1. Le problème initial</w:t>
      </w:r>
    </w:p>
    <w:p>
      <w:pPr>
        <w:spacing w:after="100" w:line="259" w:lineRule="auto"/>
        <w:ind w:firstLine="317"/>
      </w:pPr>
      <w:r>
        <w:rPr>
          <w:rFonts w:ascii="Liberation Serif" w:hAnsi="Liberation Serif"/>
          <w:i w:val="0"/>
          <w:sz w:val="21"/>
        </w:rPr>
        <w:t>Une transformation conserve certaines distinctions et en efface d’autres. La question de la reconstruction demande quelles distinctions supplémentaires doivent être maintenues pour retrouver une cible déterminée. Ce problème est plus général qu’un problème de décodage : il concerne aussi bien un quotient mathématique, une décision administrative, un calcul numérique, une compression de données ou une trajectoire physique.</w:t>
      </w:r>
    </w:p>
    <w:p>
      <w:pPr>
        <w:spacing w:after="100" w:line="259" w:lineRule="auto"/>
        <w:ind w:firstLine="317"/>
      </w:pPr>
      <w:r>
        <w:rPr>
          <w:rFonts w:ascii="Liberation Serif" w:hAnsi="Liberation Serif"/>
          <w:i w:val="0"/>
          <w:sz w:val="21"/>
        </w:rPr>
        <w:t>La théorie part d’un cadre ensembliste minimal. Elle ne suppose ni probabilité, ni métrique, ni causalité, ni dynamique. Cette pauvreté initiale permet de distinguer ce qui résulte du seul ordre des relations d’équivalence de ce qui exige ensuite une mesure, un temps, une ressource ou un régime d’actions.</w:t>
      </w:r>
    </w:p>
    <w:p>
      <w:pPr>
        <w:pStyle w:val="Heading2"/>
        <w:keepNext/>
      </w:pPr>
      <w:r>
        <w:t>2. Cinq séparations fondamentales</w:t>
      </w:r>
    </w:p>
    <w:p>
      <w:pPr>
        <w:pStyle w:val="ListBullet"/>
        <w:spacing w:after="40"/>
      </w:pPr>
      <w:r>
        <w:rPr>
          <w:rFonts w:ascii="Liberation Serif" w:hAnsi="Liberation Serif"/>
          <w:sz w:val="21"/>
        </w:rPr>
        <w:t>Observation / supplément : ce qui reste visible n’est pas ce qui doit être ajouté.</w:t>
      </w:r>
    </w:p>
    <w:p>
      <w:pPr>
        <w:pStyle w:val="ListBullet"/>
        <w:spacing w:after="40"/>
      </w:pPr>
      <w:r>
        <w:rPr>
          <w:rFonts w:ascii="Liberation Serif" w:hAnsi="Liberation Serif"/>
          <w:sz w:val="21"/>
        </w:rPr>
        <w:t>Présentation / comportement : la manière de coder n’est pas le pouvoir de distinction du code.</w:t>
      </w:r>
    </w:p>
    <w:p>
      <w:pPr>
        <w:pStyle w:val="ListBullet"/>
        <w:spacing w:after="40"/>
      </w:pPr>
      <w:r>
        <w:rPr>
          <w:rFonts w:ascii="Liberation Serif" w:hAnsi="Liberation Serif"/>
          <w:sz w:val="21"/>
        </w:rPr>
        <w:t>Valeur / genèse : le résultat d’une transformation ne contient pas nécessairement son histoire.</w:t>
      </w:r>
    </w:p>
    <w:p>
      <w:pPr>
        <w:pStyle w:val="ListBullet"/>
        <w:spacing w:after="40"/>
      </w:pPr>
      <w:r>
        <w:rPr>
          <w:rFonts w:ascii="Liberation Serif" w:hAnsi="Liberation Serif"/>
          <w:sz w:val="21"/>
        </w:rPr>
        <w:t>Reconstruction / reproduction : connaître une valeur ne fournit pas automatiquement un protocole pour la reproduire.</w:t>
      </w:r>
    </w:p>
    <w:p>
      <w:pPr>
        <w:pStyle w:val="ListBullet"/>
        <w:spacing w:after="40"/>
      </w:pPr>
      <w:r>
        <w:rPr>
          <w:rFonts w:ascii="Liberation Serif" w:hAnsi="Liberation Serif"/>
          <w:sz w:val="21"/>
        </w:rPr>
        <w:t>Information / capacité de reprise : une distinction décrite n’est pas encore une action disponible.</w:t>
      </w:r>
    </w:p>
    <w:p>
      <w:pPr>
        <w:pStyle w:val="Heading2"/>
        <w:keepNext/>
      </w:pPr>
      <w:r>
        <w:t>3. Trois formes de retour et un niveau intermédiaire</w:t>
      </w:r>
    </w:p>
    <w:p>
      <w:pPr>
        <w:spacing w:after="100" w:line="259" w:lineRule="auto"/>
        <w:ind w:firstLine="317"/>
      </w:pPr>
      <w:r>
        <w:rPr>
          <w:rFonts w:ascii="Liberation Serif" w:hAnsi="Liberation Serif"/>
          <w:i w:val="0"/>
          <w:sz w:val="21"/>
        </w:rPr>
        <w:t>Le manuscrit distingue le retour de la valeur, le retour de la genèse et le retour de la puissance d’agir. La présente version isole en outre la reproduction : disposer d’un protocole permettant de refaire un calcul ou un état n’est ni seulement connaître sa valeur, ni nécessairement pouvoir réparer un système déjà transformé.</w:t>
      </w:r>
    </w:p>
    <w:p>
      <w:pPr>
        <w:keepLines/>
        <w:spacing w:before="80" w:after="120"/>
        <w:jc w:val="center"/>
      </w:pPr>
      <w:r>
        <w:rPr>
          <w:rFonts w:ascii="Liberation Serif" w:hAnsi="Liberation Serif" w:eastAsia="Liberation Serif"/>
          <w:b w:val="0"/>
          <w:i w:val="0"/>
        </w:rPr>
        <w:t>reconstruction des distinctions  →  restauration des capacités  →  provenance des chemins</w:t>
      </w:r>
    </w:p>
    <w:p>
      <w:pPr>
        <w:pStyle w:val="Heading2"/>
        <w:keepNext/>
      </w:pPr>
      <w:r>
        <w:rPr>
          <w:b w:val="0"/>
          <w:i w:val="0"/>
        </w:rPr>
        <w:t>4. Positionnement scientifique et provenance des titres</w:t>
      </w:r>
    </w:p>
    <w:p>
      <w:r>
        <w:rPr>
          <w:b w:val="0"/>
          <w:i w:val="0"/>
        </w:rPr>
        <w:t>La thèse distingue désormais la provenance logique d’un énoncé, la provenance de son artefact et sa provenance historique. Une preuve correcte ne fournit pas une recherche d’antériorité ; la découverte d’un précédent ne réfute pas la preuve, mais modifie son attribution et son titre de contribution. La Partie I est donc présentée comme une infrastructure classique reconstruite et adaptée tant que son delta bibliographique n’est pas établi énoncé par énoncé.</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7EEF8"/>
            <w:vAlign w:val="center"/>
          </w:tcPr>
          <w:p>
            <w:pPr>
              <w:spacing w:after="40"/>
            </w:pPr>
            <w:r/>
            <w:r>
              <w:rPr>
                <w:b/>
              </w:rPr>
              <w:t>Règle méthodologique v0.13-A</w:t>
            </w:r>
          </w:p>
          <w:p>
            <w:pPr>
              <w:spacing w:before="60" w:after="40"/>
            </w:pPr>
            <w:r>
              <w:t>La vérité formelle et la nouveauté historique exigent deux chaînes de justification distinctes ; aucune ne se déduit de l’autre.</w:t>
            </w:r>
          </w:p>
        </w:tc>
      </w:tr>
    </w:tbl>
    <w:p>
      <w:pPr>
        <w:pStyle w:val="Heading2"/>
        <w:keepNext/>
      </w:pPr>
      <w:r>
        <w:rPr>
          <w:b w:val="0"/>
          <w:i w:val="0"/>
        </w:rPr>
        <w:t>5. Principe transversal : les fibres de réalisation</w:t>
      </w:r>
    </w:p>
    <w:p>
      <w:r>
        <w:rPr>
          <w:b w:val="0"/>
          <w:i w:val="0"/>
        </w:rPr>
        <w:t>À chaque comportement observable est associée la classe de ses mécanismes possibles : codes réalisant une reconstruction, régimes réalisant une filtration, histoires réalisant une transformation. La thèse étudie leur existence, leur ordre, leurs profils minimaux, leur pluralité et l’échec éventuel de tout choix canonique. Ce principe unifie les trois couches sans les confondre.</w:t>
      </w:r>
    </w:p>
    <w:p>
      <w:pPr>
        <w:keepLines/>
        <w:pageBreakBefore/>
        <w:spacing w:before="1800"/>
        <w:jc w:val="center"/>
      </w:pPr>
      <w:r>
        <w:rPr>
          <w:rFonts w:ascii="Liberation Sans" w:hAnsi="Liberation Sans"/>
          <w:b/>
          <w:color w:val="2E5D62"/>
          <w:sz w:val="24"/>
        </w:rPr>
        <w:t>PARTIE I</w:t>
      </w:r>
    </w:p>
    <w:p>
      <w:pPr>
        <w:keepLines/>
        <w:jc w:val="center"/>
      </w:pPr>
      <w:r>
        <w:rPr>
          <w:rFonts w:ascii="Liberation Sans" w:hAnsi="Liberation Sans"/>
          <w:b/>
          <w:color w:val="243436"/>
          <w:sz w:val="44"/>
        </w:rPr>
        <w:t>FONDATIONS RECONSTRUCTIVES</w:t>
      </w:r>
    </w:p>
    <w:p>
      <w:pPr>
        <w:keepLines/>
        <w:jc w:val="center"/>
      </w:pPr>
      <w:r>
        <w:rPr>
          <w:rFonts w:ascii="Liberation Serif" w:hAnsi="Liberation Serif"/>
          <w:i/>
          <w:color w:val="6B6F72"/>
          <w:sz w:val="23"/>
        </w:rPr>
        <w:t>Factorisation, noyaux admissibles, canonicité et coût</w:t>
      </w:r>
    </w:p>
    <w:p>
      <w:pPr>
        <w:keepLines/>
        <w:spacing w:before="560"/>
        <w:jc w:val="center"/>
      </w:pPr>
      <w:r>
        <w:rPr>
          <w:rFonts w:ascii="Liberation Sans" w:hAnsi="Liberation Sans"/>
          <w:b/>
          <w:color w:val="7A4E2D"/>
          <w:sz w:val="21"/>
        </w:rPr>
        <w:t>Observation  →  supplément  →  ordre  →  trace  →  provenance  →  reprise</w:t>
      </w:r>
    </w:p>
    <w:p>
      <w:r>
        <w:br w:type="page"/>
      </w:r>
    </w:p>
    <w:p>
      <w:pPr>
        <w:pStyle w:val="Heading1"/>
        <w:keepNext/>
      </w:pPr>
      <w:r>
        <w:t>Chapitre 1 — Schémas reconstructifs et factorisation</w:t>
      </w:r>
    </w:p>
    <w:p>
      <w:pPr>
        <w:pStyle w:val="Heading2"/>
        <w:keepNext/>
      </w:pPr>
      <w:r>
        <w:t>1.1 Conventions</w:t>
      </w:r>
    </w:p>
    <w:p>
      <w:pPr>
        <w:spacing w:after="100" w:line="259" w:lineRule="auto"/>
        <w:ind w:firstLine="317"/>
      </w:pPr>
      <w:r>
        <w:rPr>
          <w:rFonts w:ascii="Liberation Serif" w:hAnsi="Liberation Serif"/>
          <w:i w:val="0"/>
          <w:sz w:val="21"/>
        </w:rPr>
        <w:t>Pour une application f : X → Z, on note Eq(f) = {(x,x′) ∈ X² : f(x)=f(x′)}. La notation ker f est conservée comme abréviation, mais elle désigne un noyau relationnel et non nécessairement un noyau algébrique. Les relations d’équivalence sont ordonnées par inclusion : une relation plus petite conserve davantage de distinctions.</w:t>
      </w:r>
    </w:p>
    <w:p>
      <w:pPr>
        <w:spacing w:after="100" w:line="259" w:lineRule="auto"/>
        <w:ind w:firstLine="317"/>
      </w:pPr>
      <w:r>
        <w:rPr>
          <w:rFonts w:ascii="Liberation Serif" w:hAnsi="Liberation Serif"/>
          <w:i w:val="0"/>
          <w:sz w:val="21"/>
        </w:rPr>
        <w:t>On fixe π : X → Y et F : X → V. On pose P = Eq(π) et K = Eq(F). La rencontre de relations est leur intersection. La diagonale Δ_X est la relation la plus fine ; la relation totale ∇_X est la plus grossière.</w:t>
      </w:r>
    </w:p>
    <w:p>
      <w:pPr>
        <w:pStyle w:val="Heading2"/>
        <w:keepNext/>
      </w:pPr>
      <w:r>
        <w:t>1.2 Reconstruction réalisée et schéma reconstructif</w:t>
      </w:r>
    </w:p>
    <w:p>
      <w:pPr>
        <w:spacing w:after="100" w:line="259" w:lineRule="auto"/>
        <w:ind w:firstLine="317"/>
      </w:pPr>
      <w:r>
        <w:rPr>
          <w:rFonts w:ascii="Liberation Serif" w:hAnsi="Liberation Serif"/>
          <w:i w:val="0"/>
          <w:sz w:val="21"/>
        </w:rPr>
        <w:t>Un triplet S=(Q,q,R) est un schéma reconstructif pour (π,F) lorsque q : X → Q et que R est défini au moins sur Im⟨π,q⟩ de telle sorte que F=R∘⟨π,q⟩. L’extension de R hors de l’image réalisée n’est pas canonique et ne doit jamais être utilisée pour attribuer au schéma une propriété supplémentaire.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THM-F0 — Critère fondamental de reconstruction [D]</w:t>
            </w:r>
          </w:p>
          <w:p>
            <w:pPr>
              <w:keepLines/>
              <w:spacing w:after="40" w:line="252" w:lineRule="auto"/>
            </w:pPr>
            <w:r>
              <w:rPr>
                <w:rFonts w:ascii="Liberation Serif" w:hAnsi="Liberation Serif"/>
                <w:sz w:val="21"/>
              </w:rPr>
              <w:t>Un supplément q est reconstructif pour F relativement à π si et seulement si Eq(π) ∩ Eq(q) ⊆ Eq(F).</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Si F factorise par ⟨π,q⟩, deux états ayant mêmes valeurs de π et q ont la même valeur de F. Réciproquement, si l’inclusion est satisfaite, F est constante sur chaque fibre de ⟨π,q⟩ ; elle définit donc une application sur l’image de cette observation jointe.</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Le reconstructeur est canonique sur l’image réalisée. Son extension éventuelle à tout Y×Q exige un choix supplémentaire et n’appartient pas au contenu du théorème.</w:t>
      </w:r>
    </w:p>
    <w:p>
      <w:pPr>
        <w:pStyle w:val="Heading2"/>
        <w:keepNext/>
      </w:pPr>
      <w:r>
        <w:t>1.3 Le schéma trivial et la descente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Corollaire 1.1 — Critère du schéma trivial [D]</w:t>
            </w:r>
          </w:p>
          <w:p>
            <w:pPr>
              <w:keepLines/>
              <w:spacing w:after="40" w:line="252" w:lineRule="auto"/>
            </w:pPr>
            <w:r>
              <w:rPr>
                <w:rFonts w:ascii="Liberation Serif" w:hAnsi="Liberation Serif"/>
                <w:sz w:val="21"/>
              </w:rPr>
              <w:t>Le supplément constant suffit si et seulement si Eq(π) ⊆ Eq(F).</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Pour un supplément constant, Eq(q)=∇_X. Le critère fondamental devient Eq(π)∩∇_X = Eq(π) ⊆ Eq(F).</w:t>
      </w:r>
    </w:p>
    <w:tbl>
      <w:tblPr>
        <w:tblW w:type="auto" w:w="0"/>
        <w:jc w:val="center"/>
        <w:tblLayout w:type="fixed"/>
        <w:tblLook w:firstColumn="1" w:firstRow="1" w:lastColumn="0" w:lastRow="0" w:noHBand="0" w:noVBand="1" w:val="04A0"/>
      </w:tblPr>
      <w:tblGrid>
        <w:gridCol w:w="9821"/>
      </w:tblGrid>
      <w:tr>
        <w:trPr>
          <w:cantSplit/>
        </w:trPr>
        <w:tc>
          <w:tcPr>
            <w:tcW w:type="dxa" w:w="8856"/>
            <w:shd w:fill="F7F8F8"/>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0"/>
              </w:rPr>
              <w:t>Reclassement capacitaire</w:t>
            </w:r>
          </w:p>
          <w:p>
            <w:pPr>
              <w:keepLines/>
              <w:spacing w:after="40" w:line="252" w:lineRule="auto"/>
            </w:pPr>
            <w:r>
              <w:rPr>
                <w:rFonts w:ascii="Liberation Serif" w:hAnsi="Liberation Serif"/>
                <w:sz w:val="20"/>
              </w:rPr>
              <w:t>L’« obstruction de descente capacitaire » n’est pas un théorème nouveau. Elle est exactement ce corollaire appliqué à une cible interprétée comme capacité C. La nouveauté réside dans l’interprétation de la cible et dans les développements quantitatifs et opératoires, non dans le mécanisme de factorisation.</w:t>
            </w:r>
          </w:p>
        </w:tc>
      </w:tr>
    </w:tbl>
    <w:p>
      <w:pPr>
        <w:spacing w:after="0"/>
      </w:pPr>
    </w:p>
    <w:p>
      <w:pPr>
        <w:pStyle w:val="Heading2"/>
        <w:keepNext/>
      </w:pPr>
      <w:r>
        <w:t>1.4 Préordre de factorisation</w:t>
      </w:r>
    </w:p>
    <w:p>
      <w:pPr>
        <w:spacing w:after="100" w:line="259" w:lineRule="auto"/>
        <w:ind w:firstLine="317"/>
      </w:pPr>
      <w:r>
        <w:rPr>
          <w:rFonts w:ascii="Liberation Serif" w:hAnsi="Liberation Serif"/>
          <w:i w:val="0"/>
          <w:sz w:val="21"/>
        </w:rPr>
        <w:t>On dit que S₁ est moins informatif que S₂, et l’on écrit S₁ ⪯ S₂, lorsque q₁ factorise par q₂. À équivalence de factorisation près, ce préordre devient un ordre. Le lemme élémentaire suivant élimine les alphabets auxiliaires.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Lemme 1.2 — Factorisation et noyaux [D]</w:t>
            </w:r>
          </w:p>
          <w:p>
            <w:pPr>
              <w:keepLines/>
              <w:spacing w:after="40" w:line="252" w:lineRule="auto"/>
            </w:pPr>
            <w:r>
              <w:rPr>
                <w:rFonts w:ascii="Liberation Serif" w:hAnsi="Liberation Serif"/>
                <w:sz w:val="21"/>
              </w:rPr>
              <w:t>Pour deux applications q₁,q₂ définies sur X, q₁ factorise par q₂ si et seulement si Eq(q₂) ⊆ Eq(q₁).</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Si q₁=h∘q₂, l’égalité de q₂ implique celle de q₁. Réciproquement, l’inclusion permet de définir h sur Im(q₂) par h(q₂(x))=q₁(x), définition indépendante du représentant.</w:t>
      </w:r>
    </w:p>
    <w:p>
      <w:pPr>
        <w:pStyle w:val="Heading2"/>
        <w:keepNext/>
      </w:pPr>
      <w:r>
        <w:t>1.5 Noyaux admissibles</w:t>
      </w:r>
    </w:p>
    <w:p>
      <w:pPr>
        <w:spacing w:after="100" w:line="259" w:lineRule="auto"/>
        <w:ind w:firstLine="317"/>
      </w:pPr>
      <w:r>
        <w:rPr>
          <w:rFonts w:ascii="Liberation Serif" w:hAnsi="Liberation Serif"/>
          <w:i w:val="0"/>
          <w:sz w:val="21"/>
        </w:rPr>
        <w:t>On définit D(π,F) = {ρ ∈ Eq(X) : ρ ∩ P ⊆ K}. Chaque ρ admissible est réalisé par la projection quotient p_ρ : X → X/ρ. Le problème reconstructif dépend donc seulement de P, K et de l’ordre des relations d’équivalence.</w:t>
      </w:r>
    </w:p>
    <w:p>
      <w:pPr>
        <w:pStyle w:val="Heading1"/>
        <w:keepNext/>
      </w:pPr>
      <w:r>
        <w:t>Chapitre 2 — L’ordre des noyaux admissibles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THM-L1 — Anti-isomorphisme fondamental [D]</w:t>
            </w:r>
          </w:p>
          <w:p>
            <w:pPr>
              <w:keepLines/>
              <w:spacing w:after="40" w:line="252" w:lineRule="auto"/>
            </w:pPr>
            <w:r>
              <w:rPr>
                <w:rFonts w:ascii="Liberation Serif" w:hAnsi="Liberation Serif"/>
                <w:sz w:val="21"/>
              </w:rPr>
              <w:t>L’application Φ([Q,q,R])=Eq(q) définit un anti-isomorphisme Sch(π,F)/≈ ≅ D(π,F)ᵒᵖ. Plus précisément, [S₁]⪯[S₂] si et seulement si Φ([S₂])⊆Φ([S₁]).</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Le critère fondamental envoie tout schéma sur un noyau admissible. Le lemme de factorisation donne le renversement de l’ordre et montre que deux schémas ont le même noyau exactement lorsqu’ils se factorisent mutuellement. Pour la surjectivité, toute relation ρ∈D(π,F) est le noyau de la projection X→X/ρ, qui est reconstructive par le critère fondamental.</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THM-L1 classifie les types informationnels des suppléments. Il ne classifie pas encore les formes possibles du poset de leurs éléments maximaux.</w:t>
      </w:r>
    </w:p>
    <w:p>
      <w:pPr>
        <w:pStyle w:val="Heading2"/>
        <w:keepNext/>
      </w:pPr>
      <w:r>
        <w:t>2.1 Idéal inférieur et rencontres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Proposition 2.1 — Idéal inférieur [D]</w:t>
            </w:r>
          </w:p>
          <w:p>
            <w:pPr>
              <w:keepLines/>
              <w:spacing w:after="40" w:line="252" w:lineRule="auto"/>
            </w:pPr>
            <w:r>
              <w:rPr>
                <w:rFonts w:ascii="Liberation Serif" w:hAnsi="Liberation Serif"/>
                <w:sz w:val="21"/>
              </w:rPr>
              <w:t>Si σ⊆ρ et ρ∈D(π,F), alors σ∈D(π,F).</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La monotonie de l’intersection donne σ∩P ⊆ ρ∩P ⊆ K.</w:t>
      </w:r>
    </w:p>
    <w:p>
      <w:pPr>
        <w:spacing w:after="100" w:line="259" w:lineRule="auto"/>
        <w:ind w:firstLine="317"/>
      </w:pPr>
      <w:r>
        <w:rPr>
          <w:rFonts w:ascii="Liberation Serif" w:hAnsi="Liberation Serif"/>
          <w:i w:val="0"/>
          <w:sz w:val="21"/>
        </w:rPr>
        <w:t>Toute intersection non vide de noyaux admissibles est admissible. Pour l’intersection vide, qui vaut ∇_X, l’admissibilité équivaut à P⊆K. Ainsi D(π,F) n’est un inf-demi-treillis complet que dans le cas où F descend déjà par π.</w:t>
      </w:r>
    </w:p>
    <w:p>
      <w:pPr>
        <w:pStyle w:val="Heading2"/>
        <w:keepNext/>
      </w:pPr>
      <w:r>
        <w:t>2.2 Existence de minimaux</w:t>
      </w:r>
    </w:p>
    <w:p>
      <w:pPr>
        <w:spacing w:after="100" w:line="259" w:lineRule="auto"/>
        <w:ind w:firstLine="317"/>
      </w:pPr>
      <w:r>
        <w:rPr>
          <w:rFonts w:ascii="Liberation Serif" w:hAnsi="Liberation Serif"/>
          <w:i w:val="0"/>
          <w:sz w:val="21"/>
        </w:rPr>
        <w:t>Un schéma minimal correspond à un élément maximal de D(π,F). Dans le cas général, l’existence de maximaux s’obtient par le lemme de Zorn : l’union d’une chaîne de relations d’équivalence est encore une relation d’équivalence, et l’admissibilité est préservée le long d’une chaîne. Cette étape utilise une forme du choix et doit être déclarée comme telle.</w:t>
      </w:r>
    </w:p>
    <w:p>
      <w:pPr>
        <w:pStyle w:val="Heading2"/>
        <w:keepNext/>
      </w:pPr>
      <w:r>
        <w:t>2.3 Minimal, plus petit et canonique</w:t>
      </w:r>
    </w:p>
    <w:p>
      <w:pPr>
        <w:spacing w:after="100" w:line="259" w:lineRule="auto"/>
        <w:ind w:firstLine="317"/>
      </w:pPr>
      <w:r>
        <w:rPr>
          <w:rFonts w:ascii="Liberation Serif" w:hAnsi="Liberation Serif"/>
          <w:i w:val="0"/>
          <w:sz w:val="21"/>
        </w:rPr>
        <w:t>Un schéma minimal n’est dominé par aucun schéma strictement moins informatif. Un plus petit schéma est inférieur à tous les autres. Le premier correspond à un noyau maximal ; le second à un plus grand noyau admissible. La pluralité des maximaux est la première forme de non-canonicité.</w:t>
      </w:r>
    </w:p>
    <w:p>
      <w:pPr>
        <w:pStyle w:val="Heading1"/>
        <w:keepNext/>
      </w:pPr>
      <w:r>
        <w:t>Chapitre 3 — Canonicité, cellules et coût cardinal</w:t>
      </w:r>
    </w:p>
    <w:p>
      <w:pPr>
        <w:pStyle w:val="Heading2"/>
        <w:keepNext/>
      </w:pPr>
      <w:r>
        <w:t>3.1 Dictionnaire cellulaire</w:t>
      </w:r>
    </w:p>
    <w:p>
      <w:pPr>
        <w:spacing w:after="100" w:line="259" w:lineRule="auto"/>
        <w:ind w:firstLine="317"/>
      </w:pPr>
      <w:r>
        <w:rPr>
          <w:rFonts w:ascii="Liberation Serif" w:hAnsi="Liberation Serif"/>
          <w:i w:val="0"/>
          <w:sz w:val="21"/>
        </w:rPr>
        <w:t>Les classes de γ=P∩K sont appelées cellules. Dans une fibre de π, deux cellules distinctes correspondent à deux valeurs différentes de F. Une relation admissible peut regrouper des cellules appartenant à des fibres différentes, mais ne peut jamais réunir deux cellules distinctes de la même fibre. Les noyaux admissibles sont donc des partitions transversales des cellules.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THM-L7 — Dichotomie de canonicité [D]</w:t>
            </w:r>
          </w:p>
          <w:p>
            <w:pPr>
              <w:keepLines/>
              <w:spacing w:after="40" w:line="252" w:lineRule="auto"/>
            </w:pPr>
            <w:r>
              <w:rPr>
                <w:rFonts w:ascii="Liberation Serif" w:hAnsi="Liberation Serif"/>
                <w:sz w:val="21"/>
              </w:rPr>
              <w:t>D(π,F) possède un plus grand élément si et seulement si P⊆K ou P=∇_X.</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Si P⊆K, la relation totale ∇_X est admissible et domine D(π,F). Si P=∇_X, l’admissibilité s’écrit ρ⊆K et K est le plus grand élément. Réciproquement, supposons P⊄K et P≠∇_X. Une fibre de P contient deux cellules distinctes A et B, et il existe une cellule C dans une autre fibre. Les relations obtenues en fusionnant A avec C, puis B avec C, sont admissibles. Un plus grand noyau devrait contenir les deux fusions ; par transitivité il réunirait A et B, ce qui viole l’admissibilité. Contradiction.</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Le second cas n’est pas « rien à reconstruire » : l’observation constante ne fournit aucune distinction, mais la cible peut rester non triviale. Le supplément canonique porte alors toute l’information.</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Corollaire 3.1 — Non-localisation comme non-canonicité [D]</w:t>
            </w:r>
          </w:p>
          <w:p>
            <w:pPr>
              <w:keepLines/>
              <w:spacing w:after="40" w:line="252" w:lineRule="auto"/>
            </w:pPr>
            <w:r>
              <w:rPr>
                <w:rFonts w:ascii="Liberation Serif" w:hAnsi="Liberation Serif"/>
                <w:sz w:val="21"/>
              </w:rPr>
              <w:t>La classe ordonnée des suppléments minimaux possède un sommet exactement lorsque l’observation est déjà suffisante ou lorsqu’elle ne fournit aucune distinction initiale.</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C’est la traduction de THM-L7 par l’anti-isomorphisme THM-L1.</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Le terme « générateur » doit être réservé à l’interprétation. Mathématiquement, il s’agit d’une classe de suppléments minimaux, génériquement dépourvue de sommet.</w:t>
      </w:r>
    </w:p>
    <w:p>
      <w:pPr>
        <w:pStyle w:val="Heading2"/>
        <w:keepNext/>
      </w:pPr>
      <w:r>
        <w:t>3.2 Largeur fibrée</w:t>
      </w:r>
    </w:p>
    <w:p>
      <w:pPr>
        <w:spacing w:after="100" w:line="259" w:lineRule="auto"/>
        <w:ind w:firstLine="317"/>
      </w:pPr>
      <w:r>
        <w:rPr>
          <w:rFonts w:ascii="Liberation Serif" w:hAnsi="Liberation Serif"/>
          <w:i w:val="0"/>
          <w:sz w:val="21"/>
        </w:rPr>
        <w:t>Dans le cas fini, on définit pour chaque fibre y∈Imπ la largeur locale w_y(F)=|F(π⁻¹(y))|, puis k(π,F)=max_y w_y(F). Cette quantité compte le nombre maximal de cellules qu’un supplément doit distinguer dans une même fibre.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THM-L9-FIN — Coût cardinal optimal [D, fini]</w:t>
            </w:r>
          </w:p>
          <w:p>
            <w:pPr>
              <w:keepLines/>
              <w:spacing w:after="40" w:line="252" w:lineRule="auto"/>
            </w:pPr>
            <w:r>
              <w:rPr>
                <w:rFonts w:ascii="Liberation Serif" w:hAnsi="Liberation Serif"/>
                <w:sz w:val="21"/>
              </w:rPr>
              <w:t>Si X est fini, le nombre minimal de valeurs d’un supplément reconstructif est k(π,F)=max_{y∈Imπ}|F(π⁻¹(y))|.</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Dans une fibre donnée, deux valeurs différentes de F doivent recevoir des codes différents : toute présentation exige au moins w_y(F) labels, donc au moins k. Réciproquement, on choisit un alphabet de taille k et, dans chaque fibre, une injection des cellules dans cet alphabet. Les mêmes labels peuvent être réutilisés dans des fibres différentes. Le code ainsi obtenu reconstruit F avec π.</w:t>
      </w:r>
    </w:p>
    <w:p>
      <w:pPr>
        <w:spacing w:after="100" w:line="259" w:lineRule="auto"/>
        <w:ind w:firstLine="317"/>
      </w:pPr>
      <w:r>
        <w:rPr>
          <w:rFonts w:ascii="Liberation Serif" w:hAnsi="Liberation Serif"/>
          <w:i w:val="0"/>
          <w:sz w:val="21"/>
        </w:rPr>
        <w:t>Une extension cardinale est possible sous des hypothèses explicites permettant de choisir simultanément les injections fibre par fibre. La version finie reste le résultat principal de la thèse et ne doit pas être fragilisée par une formulation ensembliste non déclarée.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PROP-L8 — Le cardinal ne sélectionne pas [D, fini]</w:t>
            </w:r>
          </w:p>
          <w:p>
            <w:pPr>
              <w:keepLines/>
              <w:spacing w:after="40" w:line="252" w:lineRule="auto"/>
            </w:pPr>
            <w:r>
              <w:rPr>
                <w:rFonts w:ascii="Liberation Serif" w:hAnsi="Liberation Serif"/>
                <w:sz w:val="21"/>
              </w:rPr>
              <w:t>Il existe des problèmes reconstructifs finis possédant plusieurs suppléments cardinalement optimaux non équivalents.</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Les laboratoires B2, W4 et X6 fournissent des réalisations explicites. Le coût optimal fixe le nombre de labels mais non leur organisation ni le comportement joint avec π.</w:t>
      </w:r>
    </w:p>
    <w:p>
      <w:pPr>
        <w:pStyle w:val="Heading1"/>
        <w:keepNext/>
      </w:pPr>
      <w:r>
        <w:t>Chapitre 4 — Traces, spectre optimal et symétries</w:t>
      </w:r>
    </w:p>
    <w:p>
      <w:pPr>
        <w:pStyle w:val="Heading2"/>
        <w:keepNext/>
      </w:pPr>
      <w:r>
        <w:t>4.1 Trace d’un supplément</w:t>
      </w:r>
    </w:p>
    <w:p>
      <w:pPr>
        <w:spacing w:after="100" w:line="259" w:lineRule="auto"/>
        <w:ind w:firstLine="317"/>
      </w:pPr>
      <w:r>
        <w:rPr>
          <w:rFonts w:ascii="Liberation Serif" w:hAnsi="Liberation Serif"/>
          <w:i w:val="0"/>
          <w:sz w:val="21"/>
        </w:rPr>
        <w:t>Pour ρ∈D(π,F), on définit τ(ρ)=ρ∩P. Cette trace est le noyau de l’observation jointe ⟨π,q⟩ lorsque Eq(q)=ρ. Elle représente le comportement informationnel effectivement obtenu, indépendamment du codage extérieur.</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THM-L2 — Intervalle des traces [D]</w:t>
            </w:r>
          </w:p>
          <w:p>
            <w:pPr>
              <w:keepLines/>
              <w:spacing w:after="40" w:line="252" w:lineRule="auto"/>
            </w:pPr>
            <w:r>
              <w:rPr>
                <w:rFonts w:ascii="Liberation Serif" w:hAnsi="Liberation Serif"/>
                <w:sz w:val="21"/>
              </w:rPr>
              <w:t>L’application τ : D(π,F)→Eq(X) est une rétraction sur l’intervalle [Δ_X,γ], où γ=P∩K. Son image est exactement {θ : Δ_X⊆θ⊆γ}.</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Pour tout ρ admissible, τ(ρ)=ρ∩P⊆P∩K=γ. Réciproquement, si θ⊆γ, alors θ est admissible et θ⊆P, donc τ(θ)=θ. L’idempotence suit immédiatement.</w:t>
      </w:r>
    </w:p>
    <w:p>
      <w:pPr>
        <w:pStyle w:val="Heading2"/>
        <w:keepNext/>
      </w:pPr>
      <w:r>
        <w:t>4.2 Spectre comportemental optimal</w:t>
      </w:r>
    </w:p>
    <w:p>
      <w:pPr>
        <w:spacing w:after="100" w:line="259" w:lineRule="auto"/>
        <w:ind w:firstLine="317"/>
      </w:pPr>
      <w:r>
        <w:rPr>
          <w:rFonts w:ascii="Liberation Serif" w:hAnsi="Liberation Serif"/>
          <w:i w:val="0"/>
          <w:sz w:val="21"/>
        </w:rPr>
        <w:t>On note Opt_card(π,F) l’ensemble des noyaux admissibles réalisables avec k labels, et B*(π,F)={τ(ρ):ρ∈Opt_card(π,F)}. Deux présentations peuvent ainsi avoir la même trace, des traces ordonnées ou des traces incomparables.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THM-S4 — Classification du spectre optimal [D, fini — preuve rédigée]</w:t>
            </w:r>
          </w:p>
          <w:p>
            <w:pPr>
              <w:keepLines/>
              <w:spacing w:after="40" w:line="252" w:lineRule="auto"/>
            </w:pPr>
            <w:r>
              <w:rPr>
                <w:rFonts w:ascii="Liberation Serif" w:hAnsi="Liberation Serif"/>
                <w:sz w:val="21"/>
              </w:rPr>
              <w:t>Dans le cas fini, une relation θ appartient à B*(π,F) si et seulement si θ⊆γ et si, dans chaque fibre de π, le nombre de classes de θ est au plus k.</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La nécessité vient du fait qu’un supplément à k labels ne peut induire plus de k classes dans une fibre. Pour la suffisance, on colore injectivement les classes de θ dans chaque fibre par un alphabet commun de taille k ; les couleurs peuvent être réutilisées d’une fibre à l’autre. La relation de même couleur fournit un noyau optimal ρ tel que τ(ρ)=θ.</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Ce théorème classifie les traces des optima cardinaux, non l’ensemble complet des noyaux maximaux de D(π,F).</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Corollaire 4.1 — Sommet parcimonieux [D, fini]</w:t>
            </w:r>
          </w:p>
          <w:p>
            <w:pPr>
              <w:keepLines/>
              <w:spacing w:after="40" w:line="252" w:lineRule="auto"/>
            </w:pPr>
            <w:r>
              <w:rPr>
                <w:rFonts w:ascii="Liberation Serif" w:hAnsi="Liberation Serif"/>
                <w:sz w:val="21"/>
              </w:rPr>
              <w:t>La trace γ=P∩K appartient toujours à B*(π,F). Elle conserve exactement les distinctions requises pour F relativement à π.</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Dans chaque fibre, les classes de γ sont précisément les valeurs de F, au nombre w_y(F)≤k. THM-S4 s’applique.</w:t>
      </w:r>
    </w:p>
    <w:p>
      <w:pPr>
        <w:pStyle w:val="Heading2"/>
        <w:keepNext/>
      </w:pPr>
      <w:r>
        <w:t>4.3 Marges et sur-discrimination</w:t>
      </w:r>
    </w:p>
    <w:p>
      <w:pPr>
        <w:spacing w:after="100" w:line="259" w:lineRule="auto"/>
        <w:ind w:firstLine="317"/>
      </w:pPr>
      <w:r>
        <w:rPr>
          <w:rFonts w:ascii="Liberation Serif" w:hAnsi="Liberation Serif"/>
          <w:i w:val="0"/>
          <w:sz w:val="21"/>
        </w:rPr>
        <w:t>On pose s_y(F)=k-w_y(F). Cette marge mesure la capacité cardinale inutilisée dans la fibre y. Une trace optimale peut scinder jusqu’à s_y classes supplémentaires dans cette fibre sans augmenter le nombre global de labels. Cette marge est une place disponible, non une information déjà conservée.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THM-S5 — Factorisation comportement–présentation [D, fini — preuve rédigée]</w:t>
            </w:r>
          </w:p>
          <w:p>
            <w:pPr>
              <w:keepLines/>
              <w:spacing w:after="40" w:line="252" w:lineRule="auto"/>
            </w:pPr>
            <w:r>
              <w:rPr>
                <w:rFonts w:ascii="Liberation Serif" w:hAnsi="Liberation Serif"/>
                <w:sz w:val="21"/>
              </w:rPr>
              <w:t>Tout optimum cardinal se construit en deux étapes : choisir une trace θ∈B*(π,F), puis choisir une coloration transversale de ses classes par k labels.</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La trace d’un optimum satisfait THM-S4. Une fois θ fixée, le supplément est exactement une famille d’injections des classes de θ dans un alphabet commun. Réciproquement, toute telle coloration produit un optimum de trace θ.</w:t>
      </w:r>
    </w:p>
    <w:p>
      <w:pPr>
        <w:pStyle w:val="Heading2"/>
        <w:keepNext/>
      </w:pPr>
      <w:r>
        <w:t>4.4 Comptage et symétries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THM-S6 — Comptage étiqueté des présentations [D, fini]</w:t>
            </w:r>
          </w:p>
          <w:p>
            <w:pPr>
              <w:keepLines/>
              <w:spacing w:after="40" w:line="252" w:lineRule="auto"/>
            </w:pPr>
            <w:r>
              <w:rPr>
                <w:rFonts w:ascii="Liberation Serif" w:hAnsi="Liberation Serif"/>
                <w:sz w:val="21"/>
              </w:rPr>
              <w:t>Pour une trace θ dont la fibre y contient m_y classes et pour un alphabet de taille k, le nombre de colorations transversales étiquetées est ∏_y (k)_{m_y}, où (k)_m=k!/(k-m)!.</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Les choix sont indépendants entre fibres. Dans la fibre y, une coloration transversale est une injection d’un ensemble de m_y classes dans k labels, au nombre (k)_{m_y}. Le produit donne le comptage total.</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Le quotient par renommage global des labels ou par automorphismes internes exige de préciser l’action et de compter les orbites.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THM-S8 — Non-canonicité équivariante finie [D sur E4 ; M]</w:t>
            </w:r>
          </w:p>
          <w:p>
            <w:pPr>
              <w:keepLines/>
              <w:spacing w:after="40" w:line="252" w:lineRule="auto"/>
            </w:pPr>
            <w:r>
              <w:rPr>
                <w:rFonts w:ascii="Liberation Serif" w:hAnsi="Liberation Serif"/>
                <w:sz w:val="21"/>
              </w:rPr>
              <w:t>Il existe un problème reconstructif fini dont l’ensemble des noyaux optimaux est non vide et sur lequel le groupe des automorphismes des données relationnelles agit transitivement sans point globalement fixe. Aucune règle de sélection invariante sous toutes ces symétries ne peut choisir un optimum.</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Dans E4, X={a₁,a₂,b₁,b₂}, les fibres sont {a₁,a₂} et {b₁,b₂}, et F est injective. Au niveau des noyaux, deux appariements transversaux sont optimaux. Le groupe G=Aut(X,P,K), d’ordre 8, les échange transitivement. Chaque optimum a un stabilisateur d’ordre 4 ; aucun n’est fixé par le groupe entier.</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L’action n’est pas libre. La canonicité équivariante dépend du groupe d’automorphismes déclaré. Le correctif v0.9.1 remplace explicitement l’ancienne formulation erronée.</w:t>
      </w:r>
    </w:p>
    <w:p>
      <w:pPr>
        <w:pStyle w:val="Heading2"/>
        <w:keepNext/>
      </w:pPr>
      <w:r>
        <w:t>4.5 Coûts mesurés et statut de S7</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PROP-M1 — Invariance des coûts fibrés [D, fini / probabilités discrètes]</w:t>
            </w:r>
          </w:p>
          <w:p>
            <w:pPr>
              <w:keepLines/>
              <w:spacing w:after="40" w:line="252" w:lineRule="auto"/>
            </w:pPr>
            <w:r>
              <w:rPr>
                <w:rFonts w:ascii="Liberation Serif" w:hAnsi="Liberation Serif"/>
                <w:sz w:val="21"/>
              </w:rPr>
              <w:t>Pour un supplément réduit exact, H(q|π)=H(F|π). Plus généralement, tout coût dépendant seulement de la distribution conditionnelle dans chaque fibre est invariant sous renommage transversal.</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Conditionnellement à π, q et F se déterminent l’un l’autre lorsqu’ils codent bijectivement les mêmes cellules. Ils ont donc la même entropie conditionnelle.</w:t>
      </w:r>
    </w:p>
    <w:p>
      <w:pPr>
        <w:spacing w:after="100" w:line="259" w:lineRule="auto"/>
        <w:ind w:firstLine="317"/>
      </w:pPr>
      <w:r>
        <w:rPr>
          <w:rFonts w:ascii="Liberation Serif" w:hAnsi="Liberation Serif"/>
          <w:i w:val="0"/>
          <w:sz w:val="21"/>
        </w:rPr>
        <w:t>S7 ne doit donc pas optimiser H(q|π). La fonctionnelle pertinente est une entropie globale ou mutualisée qui dépend de l’alignement des classes entre fibres. Les résultats expérimentaux disponibles soutiennent une sélection parcimonieuse sur les instances testées ; l’audit bibliographique relatif aux partitions génératrices et aux théorèmes classiques d’entropie reste une obligation avant toute revendication de nouveauté générale.</w:t>
      </w:r>
    </w:p>
    <w:p>
      <w:pPr>
        <w:pStyle w:val="Heading2"/>
        <w:keepNext/>
      </w:pPr>
      <w:r>
        <w:rPr>
          <w:b w:val="0"/>
          <w:i w:val="0"/>
        </w:rPr>
        <w:t>4.6 Forme normale graphique de la reconstruction</w:t>
      </w:r>
    </w:p>
    <w:p>
      <w:r>
        <w:rPr>
          <w:b w:val="0"/>
          <w:i w:val="0"/>
        </w:rPr>
        <w:t>On définit le graphe de conflit Γ_{π,F} sur X par {x,x′}∈E si et seulement si π(x)=π(x′) et F(x)≠F(x′). Deux états sont adjacents exactement lorsqu’ils sont confondus par l’observation mais doivent être séparés pour reconstruire la cible.</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AF0F5"/>
            <w:vAlign w:val="center"/>
          </w:tcPr>
          <w:p>
            <w:pPr>
              <w:spacing w:after="40"/>
            </w:pPr>
            <w:r/>
            <w:r>
              <w:rPr>
                <w:b/>
              </w:rPr>
              <w:t>PROP-GRAPH — Reconstruction et coloration [D ; statut PA à auditer]</w:t>
            </w:r>
          </w:p>
          <w:p>
            <w:pPr>
              <w:spacing w:before="60" w:after="40"/>
            </w:pPr>
            <w:r>
              <w:t>Un supplément q:X→Q est reconstructif pour F relativement à π si et seulement si q est une coloration propre de Γ_{π,F}. Les classes de Eq(q) sont alors les ensembles stables de la coloration.</w:t>
            </w:r>
          </w:p>
        </w:tc>
      </w:tr>
    </w:tbl>
    <w:p>
      <w:r>
        <w:rPr>
          <w:b w:val="0"/>
          <w:i w:val="0"/>
        </w:rPr>
        <w:t>Preuve. Une arête relie précisément deux états pour lesquels l’égalité simultanée de π et de q ferait violer le critère fondamental. L’absence d’arête monochromatique est donc équivalente à Eq(π)∩Eq(q)⊆Eq(F).</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AF0F5"/>
            <w:vAlign w:val="center"/>
          </w:tcPr>
          <w:p>
            <w:pPr>
              <w:spacing w:after="40"/>
            </w:pPr>
            <w:r/>
            <w:r>
              <w:rPr>
                <w:b/>
              </w:rPr>
              <w:t>Corollaire — Coût chromatique [D ; socle classique]</w:t>
            </w:r>
          </w:p>
          <w:p>
            <w:pPr>
              <w:spacing w:before="60" w:after="40"/>
            </w:pPr>
            <w:r>
              <w:t>c*card(π,F)=χ(Γ_{π,F})=max_y |F(π⁻¹(y))|. Dans chaque fibre de π, Γ_{π,F} est un graphe multipartite complet dont les parties sont les niveaux de F ; les fibres différentes sont disjointes.</w:t>
            </w:r>
          </w:p>
        </w:tc>
      </w:tr>
    </w:tbl>
    <w:p>
      <w:r>
        <w:rPr>
          <w:b w:val="0"/>
          <w:i w:val="0"/>
        </w:rPr>
        <w:t>Portée. Les schémas reconstructifs deviennent des partitions de X en ensembles stables ; les solutions cardinalement optimales sont des colorations optimales ; leur non-canonicité est la pluralité des partitions colorantes optimales. Cette forme normale requalifie THM-F0, THM-L1 et THM-L9 comme infrastructure classique adaptée, sans préjuger du statut de THM-L7 ou des raffinements ordonnés.</w:t>
      </w:r>
    </w:p>
    <w:p>
      <w:pPr>
        <w:keepLines/>
        <w:pageBreakBefore/>
        <w:spacing w:before="1800"/>
        <w:jc w:val="center"/>
      </w:pPr>
      <w:r>
        <w:rPr>
          <w:rFonts w:ascii="Liberation Sans" w:hAnsi="Liberation Sans"/>
          <w:b/>
          <w:color w:val="2E5D62"/>
          <w:sz w:val="24"/>
        </w:rPr>
        <w:t>PARTIE II</w:t>
      </w:r>
    </w:p>
    <w:p>
      <w:pPr>
        <w:keepLines/>
        <w:jc w:val="center"/>
      </w:pPr>
      <w:r>
        <w:rPr>
          <w:rFonts w:ascii="Liberation Sans" w:hAnsi="Liberation Sans"/>
          <w:b/>
          <w:color w:val="243436"/>
          <w:sz w:val="44"/>
        </w:rPr>
        <w:t>CAPACITÉS, FUTURS ET NON-DESCENTE</w:t>
      </w:r>
    </w:p>
    <w:p>
      <w:pPr>
        <w:keepLines/>
        <w:jc w:val="center"/>
      </w:pPr>
      <w:r>
        <w:rPr>
          <w:rFonts w:ascii="Liberation Serif" w:hAnsi="Liberation Serif"/>
          <w:i/>
          <w:color w:val="6B6F72"/>
          <w:sz w:val="23"/>
        </w:rPr>
        <w:t>Du coût cardinal à la distinction entre comportement, budget et recodage</w:t>
      </w:r>
    </w:p>
    <w:p>
      <w:pPr>
        <w:keepLines/>
        <w:spacing w:before="560"/>
        <w:jc w:val="center"/>
      </w:pPr>
      <w:r>
        <w:rPr>
          <w:rFonts w:ascii="Liberation Sans" w:hAnsi="Liberation Sans"/>
          <w:b/>
          <w:color w:val="7A4E2D"/>
          <w:sz w:val="21"/>
        </w:rPr>
        <w:t>Observation  →  supplément  →  ordre  →  trace  →  provenance  →  reprise</w:t>
      </w:r>
    </w:p>
    <w:p>
      <w:r>
        <w:br w:type="page"/>
      </w:r>
    </w:p>
    <w:p>
      <w:pPr>
        <w:pStyle w:val="Heading1"/>
        <w:keepNext/>
      </w:pPr>
      <w:r>
        <w:t>Chapitre 5 — Une capacité comme cible reconstructive</w:t>
      </w:r>
    </w:p>
    <w:p>
      <w:pPr>
        <w:pStyle w:val="Heading2"/>
        <w:keepNext/>
      </w:pPr>
      <w:r>
        <w:t>5.1 Corollaire capacitaire du schéma trivial</w:t>
      </w:r>
    </w:p>
    <w:p>
      <w:pPr>
        <w:spacing w:after="100" w:line="259" w:lineRule="auto"/>
        <w:ind w:firstLine="317"/>
      </w:pPr>
      <w:r>
        <w:rPr>
          <w:rFonts w:ascii="Liberation Serif" w:hAnsi="Liberation Serif"/>
          <w:i w:val="0"/>
          <w:sz w:val="21"/>
        </w:rPr>
        <w:t>Une capacité C : X→V descend par π exactement lorsque Eq(π)⊆Eq(C). Ce résultat n’est pas nouveau : il s’agit du critère du schéma trivial. Son intérêt vient de la cible choisie. Une même trace peut suffire pour identifier un support et échouer à déterminer la capacité qui s’y manifeste.</w:t>
      </w:r>
    </w:p>
    <w:p>
      <w:pPr>
        <w:keepLines/>
        <w:spacing w:before="80" w:after="120"/>
        <w:jc w:val="center"/>
      </w:pPr>
      <w:r>
        <w:rPr>
          <w:rFonts w:ascii="DejaVu Serif" w:hAnsi="DejaVu Serif"/>
          <w:i/>
          <w:color w:val="243436"/>
          <w:sz w:val="22"/>
        </w:rPr>
        <w:t>préservation du support  ⇏  préservation du régime  ⇏  préservation de la capacité</w:t>
      </w:r>
    </w:p>
    <w:p>
      <w:pPr>
        <w:spacing w:after="100" w:line="259" w:lineRule="auto"/>
        <w:ind w:firstLine="317"/>
      </w:pPr>
      <w:r>
        <w:rPr>
          <w:rFonts w:ascii="Liberation Serif" w:hAnsi="Liberation Serif"/>
          <w:i w:val="0"/>
          <w:sz w:val="21"/>
        </w:rPr>
        <w:t>Le déficit capacitaire est la lecture fibrée de la trace conjointe γ_C=Eq(π)∩Eq(C). Il ne faut pas créer un second objet indépendant : le quotient X/γ_C est l’objet conjoint déjà présent dans la théorie des traces. La nouveauté consiste à interpréter ses fibres comme les régimes capacitairement distincts que l’observation confond.</w:t>
      </w:r>
    </w:p>
    <w:p>
      <w:pPr>
        <w:pStyle w:val="Heading2"/>
        <w:keepNext/>
      </w:pPr>
      <w:r>
        <w:t>5.2 Le prix fibré comme graduation du déficit</w:t>
      </w:r>
    </w:p>
    <w:p>
      <w:pPr>
        <w:spacing w:after="100" w:line="259" w:lineRule="auto"/>
        <w:ind w:firstLine="317"/>
      </w:pPr>
      <w:r>
        <w:rPr>
          <w:rFonts w:ascii="Liberation Serif" w:hAnsi="Liberation Serif"/>
          <w:i w:val="0"/>
          <w:sz w:val="21"/>
        </w:rPr>
        <w:t>On définit w_π(C)=max_{y∈Imπ}|C(π⁻¹(y))|. La non-descente n’est plus seulement binaire : w_π(C) mesure, dans la fibre la plus défavorable, le nombre de régimes de capacité confondus par la trace.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THM-D1 — Seuil de suffisance au niveau de prix 1 [D, fini]</w:t>
            </w:r>
          </w:p>
          <w:p>
            <w:pPr>
              <w:keepLines/>
              <w:spacing w:after="40" w:line="252" w:lineRule="auto"/>
            </w:pPr>
            <w:r>
              <w:rPr>
                <w:rFonts w:ascii="Liberation Serif" w:hAnsi="Liberation Serif"/>
                <w:sz w:val="21"/>
              </w:rPr>
              <w:t>Soit π₀⪯π₁⪯…⪯πₙ une chaîne d’observations de plus en plus fines. Alors w_j(C) est non croissante. La capacité C descend par π_j si et seulement si w_j(C)=1. Les niveaux suffisants forment un filtre supérieur ; si ce filtre est non vide, j_C=min{j:w_j(C)=1}.</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Chaque fibre de π_{j+1} est incluse dans une fibre de π_j ; son image par C ne peut donc avoir une cardinalité supérieure. L’égalité w_j=1 signifie que C est constante sur chaque fibre, ce qui est exactement le critère du schéma trivial. La stabilité aux raffinements donne le filtre supérieur.</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w est l’invariant maître du coût cardinal fibré. Il ne remplace pas les coûts métriques, entropiques, algorithmiques ou opératoires.</w:t>
      </w:r>
    </w:p>
    <w:p>
      <w:pPr>
        <w:spacing w:after="100" w:line="259" w:lineRule="auto"/>
        <w:ind w:firstLine="317"/>
      </w:pPr>
      <w:r>
        <w:rPr>
          <w:rFonts w:ascii="Liberation Serif" w:hAnsi="Liberation Serif"/>
          <w:i w:val="0"/>
          <w:sz w:val="21"/>
        </w:rPr>
        <w:t>PROP-C4 et THM-D1 décrivent la même filtration dans deux sens : sous compression, le prix ne peut que croître ; sous enrichissement, il ne peut que décroître. La chaîne composition–architecture–corrélation–régime n’est donc pas une filtration nouvelle, mais une lecture inversée du même ordre.</w:t>
      </w:r>
    </w:p>
    <w:p>
      <w:pPr>
        <w:pStyle w:val="Heading2"/>
        <w:keepNext/>
      </w:pPr>
      <w:r>
        <w:t>5.3 Cas empirique externe</w:t>
      </w:r>
    </w:p>
    <w:tbl>
      <w:tblPr>
        <w:tblW w:type="auto" w:w="0"/>
        <w:jc w:val="center"/>
        <w:tblLayout w:type="fixed"/>
        <w:tblLook w:firstColumn="1" w:firstRow="1" w:lastColumn="0" w:lastRow="0" w:noHBand="0" w:noVBand="1" w:val="04A0"/>
      </w:tblPr>
      <w:tblGrid>
        <w:gridCol w:w="9821"/>
      </w:tblGrid>
      <w:tr>
        <w:trPr>
          <w:cantSplit/>
        </w:trPr>
        <w:tc>
          <w:tcPr>
            <w:tcW w:type="dxa" w:w="8856"/>
            <w:shd w:fill="F7F8F8"/>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0"/>
              </w:rPr>
              <w:t>Statut [E]</w:t>
            </w:r>
          </w:p>
          <w:p>
            <w:pPr>
              <w:keepLines/>
              <w:spacing w:after="40" w:line="252" w:lineRule="auto"/>
            </w:pPr>
            <w:r>
              <w:rPr>
                <w:rFonts w:ascii="Liberation Serif" w:hAnsi="Liberation Serif"/>
                <w:sz w:val="20"/>
              </w:rPr>
              <w:t>Le cristal thermoélectrique stratifié peut motiver la distinction support/régime/capacité, mais il n’est pas un témoin mathématique. Il n’entre dans la thèse que par une fiche empirique sourcée sur une publication primaire, avec définition explicite de l’observation et de la cible. Les témoins démonstratifs restent les laboratoires finis.</w:t>
            </w:r>
          </w:p>
        </w:tc>
      </w:tr>
    </w:tbl>
    <w:p>
      <w:pPr>
        <w:spacing w:after="0"/>
      </w:pPr>
    </w:p>
    <w:p>
      <w:pPr>
        <w:pStyle w:val="Heading1"/>
        <w:keepNext/>
      </w:pPr>
      <w:r>
        <w:t>Chapitre 6 — Cibles futures et valeur d’option</w:t>
      </w:r>
    </w:p>
    <w:p>
      <w:pPr>
        <w:pStyle w:val="Heading2"/>
        <w:keepNext/>
      </w:pPr>
      <w:r>
        <w:t>6.1 Sûreté comportementale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THM-D2 — Conservation du comportement actuel [D]</w:t>
            </w:r>
          </w:p>
          <w:p>
            <w:pPr>
              <w:keepLines/>
              <w:spacing w:after="40" w:line="252" w:lineRule="auto"/>
            </w:pPr>
            <w:r>
              <w:rPr>
                <w:rFonts w:ascii="Liberation Serif" w:hAnsi="Liberation Serif"/>
                <w:sz w:val="21"/>
              </w:rPr>
              <w:t>Soit q un supplément suffisant pour F, de trace τ_q=Eq(π)∩Eq(q). Une cible future G est reconstructible depuis les données actuellement conservées si et seulement si τ_q⊆Eq(G). Dans le cas parcimonieux, cette condition devient γ_F⊆Eq(G).</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Le critère fondamental appliqué à G et au même supplément q donne exactement Eq(π)∩Eq(q)⊆Eq(G). Pour un comportement parcimonieux, cette intersection vaut γ_F=Eq(π)∩Eq(F).</w:t>
      </w:r>
    </w:p>
    <w:p>
      <w:pPr>
        <w:spacing w:after="100" w:line="259" w:lineRule="auto"/>
        <w:ind w:firstLine="317"/>
      </w:pPr>
      <w:r>
        <w:rPr>
          <w:rFonts w:ascii="Liberation Serif" w:hAnsi="Liberation Serif"/>
          <w:i w:val="0"/>
          <w:sz w:val="21"/>
        </w:rPr>
        <w:t>D2 garantit qu’aucune distinction nouvelle n’a besoin d’être inscrite. Il s’agit d’une sûreté informationnelle actuelle : le même comportement suffit, sans retour à une source plus fine.</w:t>
      </w:r>
    </w:p>
    <w:p>
      <w:pPr>
        <w:pStyle w:val="Heading2"/>
        <w:keepNext/>
      </w:pPr>
      <w:r>
        <w:t>6.2 Sûreté budgétaire</w:t>
      </w:r>
    </w:p>
    <w:p>
      <w:pPr>
        <w:spacing w:after="100" w:line="259" w:lineRule="auto"/>
        <w:ind w:firstLine="317"/>
      </w:pPr>
      <w:r>
        <w:rPr>
          <w:rFonts w:ascii="Liberation Serif" w:hAnsi="Liberation Serif"/>
          <w:i w:val="0"/>
          <w:sz w:val="21"/>
        </w:rPr>
        <w:t>Pour la cible jointe (F,G), posons k(F,G)=max_y |(F,G)(π⁻¹(y))|. La condition k(F,G)=k(F) signifie qu’un autre code conjoint existe avec le même nombre de labels. Elle ne signifie pas que le code actuel permet de reconstruire G.</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THM-D3a — Sûreté budgétaire abstraite [D, fini]</w:t>
            </w:r>
          </w:p>
          <w:p>
            <w:pPr>
              <w:keepLines/>
              <w:spacing w:after="40" w:line="252" w:lineRule="auto"/>
            </w:pPr>
            <w:r>
              <w:rPr>
                <w:rFonts w:ascii="Liberation Serif" w:hAnsi="Liberation Serif"/>
                <w:sz w:val="21"/>
              </w:rPr>
              <w:t>Dans le cas fini, une présentation conjointe de (F,G) existe au budget cardinal k(F) si et seulement si k(F,G)=k(F).</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THM-L9 appliqué à la cible jointe donne k(F,G) comme coût minimal exact. L’égalité avec k(F) est donc précisément l’absence de surcoût cardinal.</w:t>
      </w:r>
    </w:p>
    <w:p>
      <w:pPr>
        <w:pStyle w:val="Heading2"/>
        <w:keepNext/>
      </w:pPr>
      <w:r>
        <w:t>6.3 Le contre-exemple Y33</w:t>
      </w:r>
    </w:p>
    <w:p>
      <w:pPr>
        <w:spacing w:after="100" w:line="259" w:lineRule="auto"/>
        <w:ind w:firstLine="317"/>
      </w:pPr>
      <w:r>
        <w:rPr>
          <w:rFonts w:ascii="Liberation Serif" w:hAnsi="Liberation Serif"/>
          <w:i w:val="0"/>
          <w:sz w:val="21"/>
        </w:rPr>
        <w:t>Y33 possède deux fibres de trois états. Dans la première, F prend trois valeurs ; dans la seconde, seulement deux. La cible G scinde une cellule de F uniquement dans la seconde fibre. On obtient γ_F⊄Eq(G), donc D2 échoue, mais k(F,G)=k(F)=3 : la marge inutilisée de la seconde fibre absorbe la distinction sans augmenter l’alphabet.</w:t>
      </w:r>
    </w:p>
    <w:p>
      <w:pPr>
        <w:keepLines/>
        <w:spacing w:before="80" w:after="120"/>
        <w:jc w:val="center"/>
      </w:pPr>
      <w:r>
        <w:rPr>
          <w:rFonts w:ascii="DejaVu Serif" w:hAnsi="DejaVu Serif"/>
          <w:i/>
          <w:color w:val="243436"/>
          <w:sz w:val="22"/>
        </w:rPr>
        <w:t>D2  ⇒  D3a,     mais     D3a  ⇏  D2.</w:t>
      </w:r>
    </w:p>
    <w:tbl>
      <w:tblPr>
        <w:tblW w:type="auto" w:w="0"/>
        <w:jc w:val="center"/>
        <w:tblLayout w:type="fixed"/>
        <w:tblLook w:firstColumn="1" w:firstRow="1" w:lastColumn="0" w:lastRow="0" w:noHBand="0" w:noVBand="1" w:val="04A0"/>
      </w:tblPr>
      <w:tblGrid>
        <w:gridCol w:w="9821"/>
      </w:tblGrid>
      <w:tr>
        <w:trPr>
          <w:cantSplit/>
        </w:trPr>
        <w:tc>
          <w:tcPr>
            <w:tcW w:type="dxa" w:w="8856"/>
            <w:shd w:fill="F7F8F8"/>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0"/>
              </w:rPr>
              <w:t>Interprétation exacte</w:t>
            </w:r>
          </w:p>
          <w:p>
            <w:pPr>
              <w:keepLines/>
              <w:spacing w:after="40" w:line="252" w:lineRule="auto"/>
            </w:pPr>
            <w:r>
              <w:rPr>
                <w:rFonts w:ascii="Liberation Serif" w:hAnsi="Liberation Serif"/>
                <w:sz w:val="20"/>
              </w:rPr>
              <w:t>Le budget suffisait ex ante à un autre codage. Il ne s’ensuit pas que l’information nécessaire existe encore ex post dans le code parcimonieux effectivement conservé.</w:t>
            </w:r>
          </w:p>
        </w:tc>
      </w:tr>
    </w:tbl>
    <w:p>
      <w:pPr>
        <w:spacing w:after="0"/>
      </w:pPr>
    </w:p>
    <w:p>
      <w:pPr>
        <w:pStyle w:val="Heading2"/>
        <w:keepNext/>
      </w:pPr>
      <w:r>
        <w:t>6.4 Demandes locales et prix exact</w:t>
      </w:r>
    </w:p>
    <w:p>
      <w:pPr>
        <w:spacing w:after="100" w:line="259" w:lineRule="auto"/>
        <w:ind w:firstLine="317"/>
      </w:pPr>
      <w:r>
        <w:rPr>
          <w:rFonts w:ascii="Liberation Serif" w:hAnsi="Liberation Serif"/>
          <w:i w:val="0"/>
          <w:sz w:val="21"/>
        </w:rPr>
        <w:t>On note w_y(F)=|F(π⁻¹(y))|, k(F)=max_y w_y(F), s_y(F)=k(F)-w_y(F), et d_y(G|F)=|(F,G)(π⁻¹(y))|-w_y(F). La quantité s_y est une marge de l’alphabet global et d_y la demande imposée par la cible jointe. La formule suivante mesure le prix d’un recodage conjoint optimal ; elle ne mesure pas le supplément exact à ajouter à un code concret déjà détenu.</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THM-D3b — Prix cardinal localisé [D, fini]</w:t>
            </w:r>
          </w:p>
          <w:p>
            <w:pPr>
              <w:keepLines/>
              <w:spacing w:after="40" w:line="252" w:lineRule="auto"/>
            </w:pPr>
            <w:r>
              <w:rPr>
                <w:rFonts w:ascii="Liberation Serif" w:hAnsi="Liberation Serif"/>
                <w:sz w:val="21"/>
              </w:rPr>
              <w:t>Dans le cas fini, k(F,G)-k(F)=max_{y∈Imπ}(d_y(G|F)-s_y(F)). De plus, D2 équivaut à d_y=0 pour tout y, tandis que D3a équivaut à d_y≤s_y pour tout y.</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Dans chaque fibre, la largeur jointe vaut w_y(F)+d_y=k(F)-s_y+d_y. En prenant le maximum sur y puis en soustrayant k(F), on obtient la formule. Les deux critères sont les reformulations directes de la constance de G sur les cellules de F et de l’absence de dépassement du budget global.</w:t>
      </w:r>
    </w:p>
    <w:p>
      <w:pPr>
        <w:pBdr>
          <w:left w:val="single" w:sz="8" w:space="5" w:color="6B6F72"/>
        </w:pBdr>
      </w:pPr>
      <w:r>
        <w:rPr>
          <w:rFonts w:ascii="Liberation Sans" w:hAnsi="Liberation Sans"/>
          <w:b/>
          <w:color w:val="6B6F72"/>
          <w:sz w:val="19"/>
        </w:rPr>
        <w:t xml:space="preserve">Portée exacte. </w:t>
      </w:r>
      <w:r>
        <w:rPr>
          <w:rFonts w:ascii="Liberation Serif" w:hAnsi="Liberation Serif"/>
          <w:i/>
          <w:color w:val="6B6F72"/>
          <w:sz w:val="19"/>
        </w:rPr>
        <w:t>Le correctif v0.9.1 vérifie ces identités exhaustivement sur E4 et Y33, puis sur 20 000 tirages aléatoires. Cette attestation n’est pas la preuve, mais elle contrôle l’implémentation.</w:t>
      </w:r>
    </w:p>
    <w:p>
      <w:pPr>
        <w:pStyle w:val="Heading2"/>
        <w:keepNext/>
      </w:pPr>
      <w:r>
        <w:rPr>
          <w:b w:val="0"/>
          <w:i w:val="0"/>
        </w:rPr>
        <w:t>6.4 bis Coût exact de réouverture d’un code matérialisé</w:t>
      </w:r>
    </w:p>
    <w:p>
      <w:r>
        <w:rPr>
          <w:b w:val="0"/>
          <w:i w:val="0"/>
        </w:rPr>
        <w:t>Soit q:X→Q le code effectivement détenu. On cherche un supplément s:X→S de cardinal minimal tel que G soit reconstructible depuis (π,q,s). Pour y∈Y et a∈Q, posons C_{y,a}=π⁻¹(y)∩q⁻¹(a).</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7EEF8"/>
            <w:vAlign w:val="center"/>
          </w:tcPr>
          <w:p>
            <w:pPr>
              <w:spacing w:after="40"/>
            </w:pPr>
            <w:r/>
            <w:r>
              <w:rPr>
                <w:b/>
              </w:rPr>
              <w:t>THM-D5 — Résidu exact d’un code existant [D, fini ; PA indéterminé]</w:t>
            </w:r>
          </w:p>
          <w:p>
            <w:pPr>
              <w:spacing w:before="60" w:after="40"/>
            </w:pPr>
            <w:r>
              <w:t>min |Im s| = max_{(y,a)} |G(C_{y,a})|.</w:t>
            </w:r>
          </w:p>
        </w:tc>
      </w:tr>
    </w:tbl>
    <w:p>
      <w:r>
        <w:rPr>
          <w:b w:val="0"/>
          <w:i w:val="0"/>
        </w:rPr>
        <w:t>Preuve. Dans chaque cellule C_{y,a}, deux valeurs distinctes de G doivent recevoir des valeurs distinctes de s ; il faut donc au moins |G(C_{y,a})| labels. Réciproquement, un alphabet de taille égale au maximum permet d’injecter séparément les niveaux de G dans chaque cellule, les mêmes labels étant réutilisables entre cellules différentes.</w:t>
      </w:r>
    </w:p>
    <w:p>
      <w:r>
        <w:rPr>
          <w:b w:val="0"/>
          <w:i w:val="0"/>
        </w:rPr>
        <w:t>Conséquence. Deux codes de même cardinal, voire de même coût global, peuvent avoir des résidus de réouverture différents. L’information déjà détenue n’est donc pas une quantité scalaire qui se soustrait à la demande : la forme de sa partition est décisive.</w:t>
      </w:r>
    </w:p>
    <w:p>
      <w:pPr>
        <w:pStyle w:val="Heading2"/>
        <w:keepNext/>
      </w:pPr>
      <w:r>
        <w:t>6.5 L’impossibilité de recréer l’oubli</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THM-D4 — Irrécupérabilité par post-traitement [D]</w:t>
            </w:r>
          </w:p>
          <w:p>
            <w:pPr>
              <w:keepLines/>
              <w:spacing w:after="40" w:line="252" w:lineRule="auto"/>
            </w:pPr>
            <w:r>
              <w:rPr>
                <w:rFonts w:ascii="Liberation Serif" w:hAnsi="Liberation Serif"/>
                <w:sz w:val="21"/>
              </w:rPr>
              <w:t>Soit q un supplément parcimonieux pour F. Si γ_F⊄Eq(G), aucun supplément q′ obtenu uniquement par post-traitement de ⟨π,q⟩ ne peut rendre G reconstructible avec π.</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Tout post-traitement q′=h∘⟨π,q⟩ possède un noyau contenant Eq⟨π,q⟩=γ_F. Si q′ reconstruisait G avec π, le critère fondamental imposerait Eq(π)∩Eq(q′)⊆Eq(G). Or γ_F est contenue dans cette intersection, contradiction. Réciproquement, si γ_F⊆Eq(G), q lui-même suffit déjà.</w:t>
      </w:r>
    </w:p>
    <w:p>
      <w:pPr>
        <w:keepLines/>
        <w:spacing w:before="80" w:after="120"/>
        <w:jc w:val="center"/>
      </w:pPr>
      <w:r>
        <w:rPr>
          <w:rFonts w:ascii="DejaVu Serif" w:hAnsi="DejaVu Serif"/>
          <w:i/>
          <w:color w:val="243436"/>
          <w:sz w:val="22"/>
        </w:rPr>
        <w:t>si D2 échoue, aucune puissance de calcul appliquée au code conservé ne recrée la distinction oubliée</w:t>
      </w:r>
    </w:p>
    <w:p>
      <w:pPr>
        <w:pStyle w:val="Heading2"/>
        <w:keepNext/>
      </w:pPr>
      <w:r>
        <w:t>6.6 Quatre réserves à distinguer</w:t>
      </w:r>
    </w:p>
    <w:p>
      <w:pPr>
        <w:pStyle w:val="ListBullet"/>
        <w:spacing w:after="40"/>
      </w:pPr>
      <w:r>
        <w:rPr>
          <w:rFonts w:ascii="Liberation Serif" w:hAnsi="Liberation Serif"/>
          <w:sz w:val="21"/>
        </w:rPr>
        <w:t>Réserve informationnelle : distinctions effectivement conservées par le supplément courant.</w:t>
      </w:r>
    </w:p>
    <w:p>
      <w:pPr>
        <w:pStyle w:val="ListBullet"/>
        <w:spacing w:after="40"/>
      </w:pPr>
      <w:r>
        <w:rPr>
          <w:rFonts w:ascii="Liberation Serif" w:hAnsi="Liberation Serif"/>
          <w:sz w:val="21"/>
        </w:rPr>
        <w:t>Marge budgétaire : distinctions que l’alphabet pourrait encore porter après recodage.</w:t>
      </w:r>
    </w:p>
    <w:p>
      <w:pPr>
        <w:pStyle w:val="ListBullet"/>
        <w:spacing w:after="40"/>
      </w:pPr>
      <w:r>
        <w:rPr>
          <w:rFonts w:ascii="Liberation Serif" w:hAnsi="Liberation Serif"/>
          <w:sz w:val="21"/>
        </w:rPr>
        <w:t>Réserve de provenance : données ou archives permettant de reconstruire un autre code.</w:t>
      </w:r>
    </w:p>
    <w:p>
      <w:pPr>
        <w:pStyle w:val="ListBullet"/>
        <w:spacing w:after="40"/>
      </w:pPr>
      <w:r>
        <w:rPr>
          <w:rFonts w:ascii="Liberation Serif" w:hAnsi="Liberation Serif"/>
          <w:sz w:val="21"/>
        </w:rPr>
        <w:t>Capacité opératoire : pouvoir effectif d’exécuter ce recodage dans le régime présent.</w:t>
      </w:r>
    </w:p>
    <w:p>
      <w:pPr>
        <w:keepLines/>
        <w:spacing w:before="80" w:after="120"/>
        <w:jc w:val="center"/>
      </w:pPr>
      <w:r>
        <w:rPr>
          <w:rFonts w:ascii="DejaVu Serif" w:hAnsi="DejaVu Serif"/>
          <w:i/>
          <w:color w:val="243436"/>
          <w:sz w:val="22"/>
        </w:rPr>
        <w:t>une place libre dans un alphabet n’est pas une distinction conservée</w:t>
      </w:r>
    </w:p>
    <w:p>
      <w:pPr>
        <w:pStyle w:val="Heading2"/>
        <w:keepNext/>
      </w:pPr>
      <w:r>
        <w:t>6.7 Aucune compression ne protège tous les futurs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b/>
                <w:color w:val="2E5D62"/>
                <w:sz w:val="21"/>
              </w:rPr>
              <w:t>Proposition 6.1 — Impossibilité du futur universel [D]</w:t>
            </w:r>
          </w:p>
          <w:p>
            <w:pPr>
              <w:keepLines/>
              <w:spacing w:after="40" w:line="252" w:lineRule="auto"/>
            </w:pPr>
            <w:r>
              <w:rPr>
                <w:rFonts w:ascii="Liberation Serif" w:hAnsi="Liberation Serif"/>
                <w:sz w:val="21"/>
              </w:rPr>
              <w:t>Une trace τ : X→T est suffisante pour toute cible binaire F : X→{0,1} si et seulement si τ est injective.</w:t>
            </w:r>
          </w:p>
        </w:tc>
      </w:tr>
    </w:tbl>
    <w:p>
      <w:pPr>
        <w:spacing w:after="0"/>
      </w:pPr>
    </w:p>
    <w:p>
      <w:pPr>
        <w:spacing w:after="100"/>
        <w:ind w:firstLine="0"/>
      </w:pPr>
      <w:r>
        <w:rPr>
          <w:rFonts w:ascii="Liberation Serif" w:hAnsi="Liberation Serif"/>
          <w:b/>
          <w:sz w:val="21"/>
        </w:rPr>
        <w:t xml:space="preserve">Preuve. </w:t>
      </w:r>
      <w:r>
        <w:rPr>
          <w:rFonts w:ascii="Liberation Serif" w:hAnsi="Liberation Serif"/>
          <w:sz w:val="21"/>
        </w:rPr>
        <w:t>Si τ est injective, toute cible factorise par elle. Si τ confond deux états distincts, la cible binaire qui les sépare ne descend pas par τ.</w:t>
      </w:r>
    </w:p>
    <w:p>
      <w:pPr>
        <w:spacing w:after="100" w:line="259" w:lineRule="auto"/>
        <w:ind w:firstLine="317"/>
      </w:pPr>
      <w:r>
        <w:rPr>
          <w:rFonts w:ascii="Liberation Serif" w:hAnsi="Liberation Serif"/>
          <w:i w:val="0"/>
          <w:sz w:val="21"/>
        </w:rPr>
        <w:t>Toute politique de compression renonce donc à certaines questions futures. La valeur d’option d’une trace doit toujours être relative à une famille déclarée de cibles plausibles.</w:t>
      </w:r>
    </w:p>
    <w:p>
      <w:r>
        <w:br w:type="page"/>
      </w:r>
    </w:p>
    <w:p>
      <w:pPr>
        <w:keepLines/>
        <w:spacing w:before="1720"/>
        <w:jc w:val="center"/>
      </w:pPr>
      <w:r>
        <w:rPr>
          <w:rFonts w:ascii="Liberation Sans" w:hAnsi="Liberation Sans" w:eastAsia="Liberation Sans"/>
          <w:b/>
          <w:i w:val="0"/>
          <w:color w:val="2E5D62"/>
          <w:sz w:val="24"/>
        </w:rPr>
        <w:t>PARTIE III</w:t>
      </w:r>
    </w:p>
    <w:p>
      <w:pPr>
        <w:keepLines/>
        <w:jc w:val="center"/>
      </w:pPr>
      <w:r>
        <w:rPr>
          <w:rFonts w:ascii="Liberation Sans" w:hAnsi="Liberation Sans" w:eastAsia="Liberation Sans"/>
          <w:b/>
          <w:i w:val="0"/>
          <w:color w:val="243436"/>
          <w:sz w:val="44"/>
        </w:rPr>
        <w:t>RÉGIMES D’INFORMATION ET D’ACTION</w:t>
      </w:r>
    </w:p>
    <w:p>
      <w:pPr>
        <w:keepLines/>
        <w:jc w:val="center"/>
      </w:pPr>
      <w:r>
        <w:t>Acquisition active, croyances, restauration uniforme et filtration bornée</w:t>
      </w:r>
    </w:p>
    <w:p>
      <w:pPr>
        <w:keepLines/>
        <w:spacing w:before="520"/>
        <w:jc w:val="center"/>
      </w:pPr>
      <w:r>
        <w:t>information lisible  →  action admissible  →  croyance  →  filtration  →  restauration</w:t>
      </w:r>
    </w:p>
    <w:p>
      <w:r>
        <w:br w:type="page"/>
      </w:r>
    </w:p>
    <w:p>
      <w:pPr>
        <w:pStyle w:val="Heading1"/>
        <w:keepNext/>
      </w:pPr>
      <w:r>
        <w:t>Chapitre 7 — Architecture ratifiée : reconstruction, restauration, provenance</w:t>
      </w:r>
    </w:p>
    <w:p>
      <w:pPr>
        <w:pStyle w:val="Heading2"/>
        <w:keepNext/>
      </w:pPr>
      <w:r>
        <w:t>7.1 Fonction de NDA-0.1</w:t>
      </w:r>
    </w:p>
    <w:p>
      <w:pPr>
        <w:keepNext w:val="0"/>
      </w:pPr>
      <w:r>
        <w:rPr>
          <w:rFonts w:ascii="Liberation Serif" w:hAnsi="Liberation Serif" w:eastAsia="Liberation Serif"/>
          <w:b w:val="0"/>
          <w:i w:val="0"/>
        </w:rPr>
        <w:t>NDA-0.1 est logiquement antérieure à toute nouvelle spécification. Elle ne définit pas encore toutes les catégories ; elle fixe les séparations que toute définition ultérieure devra respecter. La v0.2-T est donc conservée comme noyau typé de transition, tandis que la présente version adopte l’architecture ratifiée par D-1 à D-10.</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Décision architecturale D-1 — trois couches irréductibles</w:t>
            </w:r>
            <w:r>
              <w:rPr>
                <w:rFonts w:ascii="Liberation Sans" w:hAnsi="Liberation Sans" w:eastAsia="Liberation Sans"/>
                <w:b/>
                <w:i w:val="0"/>
                <w:color w:val="7A4E2D"/>
                <w:sz w:val="19"/>
              </w:rPr>
              <w:t xml:space="preserve"> [R]</w:t>
            </w:r>
            <w:r>
              <w:rPr>
                <w:rFonts w:ascii="Liberation Serif" w:hAnsi="Liberation Serif" w:eastAsia="Liberation Serif"/>
                <w:b w:val="0"/>
                <w:i w:val="0"/>
                <w:sz w:val="19"/>
              </w:rPr>
              <w:br/>
              <w:t>Reconstruction, restauration et provenance ne sont ni synonymes ni trois degrés d’une même opération. La première qualifie ce qui peut être déterminé, la seconde ce qui peut encore être exécuté, la troisième les chemins causaux par lesquels les informations et capacités présentes ont été produites ou détruites.</w:t>
            </w:r>
          </w:p>
        </w:tc>
      </w:tr>
    </w:tbl>
    <w:p>
      <w:pPr>
        <w:spacing w:after="0"/>
      </w:pP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top w:val="single" w:sz="4" w:color="D6E3E3"/>
              <w:left w:val="single" w:sz="20" w:color="2E5D62"/>
              <w:bottom w:val="single" w:sz="4" w:color="D6E3E3"/>
              <w:right w:val="single" w:sz="4" w:color="D6E3E3"/>
            </w:tcBorders>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243436"/>
                <w:sz w:val="22"/>
              </w:rPr>
              <w:t>Rec  ≠  Act  ≠  Gen</w:t>
            </w:r>
          </w:p>
        </w:tc>
      </w:tr>
    </w:tbl>
    <w:p>
      <w:pPr>
        <w:spacing w:after="0"/>
      </w:pPr>
    </w:p>
    <w:p>
      <w:pPr>
        <w:pStyle w:val="Heading2"/>
        <w:keepNext/>
      </w:pPr>
      <w:r>
        <w:t>7.2 La couche reconstructive</w:t>
      </w:r>
    </w:p>
    <w:p>
      <w:pPr>
        <w:keepNext w:val="0"/>
      </w:pPr>
      <w:r>
        <w:rPr>
          <w:rFonts w:ascii="Liberation Serif" w:hAnsi="Liberation Serif" w:eastAsia="Liberation Serif"/>
          <w:b w:val="0"/>
          <w:i w:val="0"/>
        </w:rPr>
        <w:t>La couche reconstructive reçoit un espace fini X, une observation π, un supplément matérialisé q et les archives immédiatement lisibles α₀. Elle étudie les distinctions déterminables par l’application d’information présente I₀=⟨π,q,α₀⟩. Son invariant central est le noyau ι₀(ℛ)=Eq(I₀).</w:t>
      </w:r>
    </w:p>
    <w:p>
      <w:pPr>
        <w:keepLines/>
        <w:spacing w:before="80" w:after="140"/>
        <w:jc w:val="center"/>
      </w:pPr>
      <w:r>
        <w:rPr>
          <w:rFonts w:ascii="Liberation Serif" w:hAnsi="Liberation Serif" w:eastAsia="Liberation Serif"/>
          <w:b w:val="0"/>
          <w:i/>
          <w:color w:val="243436"/>
          <w:sz w:val="22"/>
        </w:rPr>
        <w:t>Rec_ℛ(G)  ⇔  ι₀(ℛ) ≤ Eq(G)</w:t>
      </w:r>
    </w:p>
    <w:p>
      <w:pPr>
        <w:keepNext w:val="0"/>
      </w:pPr>
      <w:r>
        <w:rPr>
          <w:rFonts w:ascii="Liberation Serif" w:hAnsi="Liberation Serif" w:eastAsia="Liberation Serif"/>
          <w:b w:val="0"/>
          <w:i w:val="0"/>
        </w:rPr>
        <w:t>Cette couche ne contient encore aucune promesse d’action. Elle peut attester qu’une cible est connue sans qu’une transition vers une région souhaitée soit disponible.</w:t>
      </w:r>
    </w:p>
    <w:p>
      <w:pPr>
        <w:pStyle w:val="Heading2"/>
        <w:keepNext/>
      </w:pPr>
      <w:r>
        <w:t>7.3 La couche opératoire</w:t>
      </w:r>
    </w:p>
    <w:p>
      <w:pPr>
        <w:keepNext w:val="0"/>
      </w:pPr>
      <w:r>
        <w:rPr>
          <w:rFonts w:ascii="Liberation Serif" w:hAnsi="Liberation Serif" w:eastAsia="Liberation Serif"/>
          <w:b w:val="0"/>
          <w:i w:val="0"/>
        </w:rPr>
        <w:t>La couche opératoire reçoit les actions partielles, leurs coûts, les ressources requises, le budget d’action et les états de croyance. Elle ne demande pas seulement si un état cible existe, mais si une même transformation demeure exécutable sous l’incertitude réellement disponible.</w:t>
      </w:r>
    </w:p>
    <w:p>
      <w:pPr>
        <w:keepNext w:val="0"/>
      </w:pPr>
      <w:r>
        <w:rPr>
          <w:rFonts w:ascii="Liberation Serif" w:hAnsi="Liberation Serif" w:eastAsia="Liberation Serif"/>
          <w:b w:val="0"/>
          <w:i w:val="0"/>
        </w:rPr>
        <w:t>Le passage de la reconstruction à l’action n’est pas automatique : une cible peut être déterminée sans être atteignable ; réciproquement, une action robuste peut restaurer une région sans identifier l’état initial.</w:t>
      </w:r>
    </w:p>
    <w:p>
      <w:pPr>
        <w:pStyle w:val="Heading2"/>
        <w:keepNext/>
      </w:pPr>
      <w:r>
        <w:t>7.4 La couche généalogique</w:t>
      </w:r>
    </w:p>
    <w:p>
      <w:pPr>
        <w:keepNext w:val="0"/>
      </w:pPr>
      <w:r>
        <w:rPr>
          <w:rFonts w:ascii="Liberation Serif" w:hAnsi="Liberation Serif" w:eastAsia="Liberation Serif"/>
          <w:b w:val="0"/>
          <w:i w:val="0"/>
        </w:rPr>
        <w:t>La couche généalogique porte les morphismes enrichis par des histoires causales. Elle n’est ni une mémoire chronologique brute ni une fonction du seul résultat final. Son objet est une classe de chemins admissibles, munie d’une composition et soumise à des conditions de correction, d’exhaustivité et de minimalité.</w:t>
      </w:r>
    </w:p>
    <w:p>
      <w:pPr>
        <w:pStyle w:val="Heading2"/>
        <w:keepNext/>
      </w:pPr>
      <w:r>
        <w:t>7.5 Passages typés entre les couches</w:t>
      </w:r>
    </w:p>
    <w:p>
      <w:pPr>
        <w:pStyle w:val="ListBullet"/>
      </w:pPr>
      <w:r>
        <w:rPr>
          <w:rFonts w:ascii="Liberation Serif" w:hAnsi="Liberation Serif" w:eastAsia="Liberation Serif"/>
          <w:b w:val="0"/>
          <w:i w:val="0"/>
        </w:rPr>
        <w:t>Une action d’accès à une archive peut enrichir I₀ et modifier le noyau d’information.</w:t>
      </w:r>
    </w:p>
    <w:p>
      <w:pPr>
        <w:pStyle w:val="ListBullet"/>
      </w:pPr>
      <w:r>
        <w:rPr>
          <w:rFonts w:ascii="Liberation Serif" w:hAnsi="Liberation Serif" w:eastAsia="Liberation Serif"/>
          <w:b w:val="0"/>
          <w:i w:val="0"/>
        </w:rPr>
        <w:t>Une action de restauration peut réussir sans reconstruire la valeur initiale de la cible.</w:t>
      </w:r>
    </w:p>
    <w:p>
      <w:pPr>
        <w:pStyle w:val="ListBullet"/>
      </w:pPr>
      <w:r>
        <w:rPr>
          <w:rFonts w:ascii="Liberation Serif" w:hAnsi="Liberation Serif" w:eastAsia="Liberation Serif"/>
          <w:b w:val="0"/>
          <w:i w:val="0"/>
        </w:rPr>
        <w:t>Une transformation opératoire produit une histoire, mais l’oubli de cette histoire ne doit pas effacer les ressources ni les actions de l’objet.</w:t>
      </w:r>
    </w:p>
    <w:p>
      <w:pPr>
        <w:pStyle w:val="ListBullet"/>
      </w:pPr>
      <w:r>
        <w:rPr>
          <w:rFonts w:ascii="Liberation Serif" w:hAnsi="Liberation Serif" w:eastAsia="Liberation Serif"/>
          <w:b w:val="0"/>
          <w:i w:val="0"/>
        </w:rPr>
        <w:t>Une provenance peut être constitutive sans être encore probatoire ; la certification exige une règle d’attribution et un acteur habilité.</w:t>
      </w:r>
    </w:p>
    <w:tbl>
      <w:tblPr>
        <w:tblW w:type="auto" w:w="0"/>
        <w:jc w:val="center"/>
        <w:tblLayout w:type="autofit"/>
        <w:tblLook w:firstColumn="1" w:firstRow="1" w:lastColumn="0" w:lastRow="0" w:noHBand="0" w:noVBand="1" w:val="04A0"/>
      </w:tblPr>
      <w:tblGrid>
        <w:gridCol w:w="9821"/>
      </w:tblGrid>
      <w:tr>
        <w:trPr>
          <w:cantSplit/>
        </w:trPr>
        <w:tc>
          <w:tcPr>
            <w:tcW w:type="dxa" w:w="9821"/>
            <w:shd w:fill="F5EEE8"/>
            <w:tcBorders>
              <w:left w:val="single" w:sz="22" w:color="7A4E2D"/>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Principe de passage</w:t>
            </w:r>
            <w:r>
              <w:rPr>
                <w:rFonts w:ascii="Liberation Sans" w:hAnsi="Liberation Sans" w:eastAsia="Liberation Sans"/>
                <w:b/>
                <w:i w:val="0"/>
                <w:color w:val="7A4E2D"/>
                <w:sz w:val="19"/>
              </w:rPr>
              <w:t xml:space="preserve"> [R]</w:t>
            </w:r>
            <w:r>
              <w:rPr>
                <w:rFonts w:ascii="Liberation Serif" w:hAnsi="Liberation Serif" w:eastAsia="Liberation Serif"/>
                <w:b w:val="0"/>
                <w:i w:val="0"/>
                <w:sz w:val="19"/>
              </w:rPr>
              <w:br/>
              <w:t>Aucun résultat ne franchit une couche par simple changement de vocabulaire. Chaque passage entre information, action et provenance doit être assuré par une définition ou un théorème explicite.</w:t>
            </w:r>
          </w:p>
        </w:tc>
      </w:tr>
    </w:tbl>
    <w:p>
      <w:pPr>
        <w:spacing w:after="0"/>
      </w:pPr>
    </w:p>
    <w:p>
      <w:pPr>
        <w:pStyle w:val="Heading1"/>
        <w:keepNext/>
      </w:pPr>
      <w:r>
        <w:t>Chapitre 8 — Information présente, acquisition active et niveaux opératoires</w:t>
      </w:r>
    </w:p>
    <w:p>
      <w:pPr>
        <w:pStyle w:val="Heading2"/>
        <w:keepNext/>
      </w:pPr>
      <w:r>
        <w:t>8.1 Archives immédiatement lisibles et archives récupérables</w:t>
      </w:r>
    </w:p>
    <w:p>
      <w:pPr>
        <w:keepNext w:val="0"/>
      </w:pPr>
      <w:r>
        <w:rPr>
          <w:rFonts w:ascii="Liberation Serif" w:hAnsi="Liberation Serif" w:eastAsia="Liberation Serif"/>
          <w:b w:val="0"/>
          <w:i w:val="0"/>
        </w:rPr>
        <w:t>Les archives sont séparées en deux familles. Les archives A₀ sont immédiatement consultables : elles entrent dans I₀ et modifient directement ι₀(ℛ). Les archives A₊ existent éventuellement dans l’infrastructure, mais leur consultation exige une action, des ressources, un coût et parfois une habilitation.</w:t>
      </w:r>
    </w:p>
    <w:p>
      <w:pPr>
        <w:keepLines/>
        <w:spacing w:before="80" w:after="140"/>
        <w:jc w:val="center"/>
      </w:pPr>
      <w:r>
        <w:rPr>
          <w:rFonts w:ascii="Liberation Serif" w:hAnsi="Liberation Serif" w:eastAsia="Liberation Serif"/>
          <w:b w:val="0"/>
          <w:i/>
          <w:color w:val="243436"/>
          <w:sz w:val="22"/>
        </w:rPr>
        <w:t>A = A₀ ⊔ A₊,     I₀ = ⟨π,q,α₀⟩,     ι₀(ℛ)=Eq(I₀)</w:t>
      </w:r>
    </w:p>
    <w:p>
      <w:pPr>
        <w:keepNext w:val="0"/>
      </w:pPr>
      <w:r>
        <w:rPr>
          <w:rFonts w:ascii="Liberation Serif" w:hAnsi="Liberation Serif" w:eastAsia="Liberation Serif"/>
          <w:b w:val="0"/>
          <w:i w:val="0"/>
        </w:rPr>
        <w:t>THM-D4 porte exactement sur le post-traitement interne de I₀. Il n’interdit pas qu’une source extérieure encore accessible livre une distinction nouvelle ; cette livraison appartient alors à la couche opératoire et non au calcul pur.</w:t>
      </w:r>
    </w:p>
    <w:p>
      <w:pPr>
        <w:pStyle w:val="Heading2"/>
        <w:keepNext/>
      </w:pPr>
      <w:r>
        <w:t>8.2 Le budget courant comme résultat dérivé</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THM-RC — Réduction du budget courant</w:t>
            </w:r>
            <w:r>
              <w:rPr>
                <w:rFonts w:ascii="Liberation Sans" w:hAnsi="Liberation Sans" w:eastAsia="Liberation Sans"/>
                <w:b/>
                <w:i w:val="0"/>
                <w:color w:val="7A4E2D"/>
                <w:sz w:val="19"/>
              </w:rPr>
              <w:t xml:space="preserve"> [D]</w:t>
            </w:r>
            <w:r>
              <w:rPr>
                <w:rFonts w:ascii="Liberation Serif" w:hAnsi="Liberation Serif" w:eastAsia="Liberation Serif"/>
                <w:b w:val="0"/>
                <w:i w:val="0"/>
                <w:sz w:val="19"/>
              </w:rPr>
              <w:br/>
              <w:t>Dans le cadre fini déterministe, le coût minimal d’un recodage courant vaut c*card(π,G) lorsque ι₀(ℛ)≤Eq(G), et +∞ sinon. La recodabilité courante équivaut donc à Rec_ℛ(G) et c*card(π,G)≤B_lab.</w:t>
            </w:r>
          </w:p>
        </w:tc>
      </w:tr>
    </w:tbl>
    <w:p>
      <w:pPr>
        <w:spacing w:after="0"/>
      </w:pPr>
    </w:p>
    <w:p>
      <w:pPr>
        <w:keepLines/>
        <w:spacing w:before="80" w:after="140"/>
        <w:jc w:val="center"/>
      </w:pPr>
      <w:r>
        <w:rPr>
          <w:rFonts w:ascii="Liberation Serif" w:hAnsi="Liberation Serif" w:eastAsia="Liberation Serif"/>
          <w:b w:val="0"/>
          <w:i/>
          <w:color w:val="243436"/>
          <w:sz w:val="22"/>
        </w:rPr>
        <w:t>k^cour_ℛ(G) = c*card(π,G) si Rec_ℛ(G), et +∞ sinon</w:t>
      </w:r>
    </w:p>
    <w:p>
      <w:pPr>
        <w:keepNext w:val="0"/>
      </w:pPr>
      <w:r>
        <w:rPr>
          <w:rFonts w:ascii="Liberation Serif" w:hAnsi="Liberation Serif" w:eastAsia="Liberation Serif"/>
          <w:b w:val="0"/>
          <w:i w:val="0"/>
        </w:rPr>
        <w:t>Il n’existe donc pas un troisième budget autonome entre information et action. La dimension réellement nouvelle est l’acquisition active d’information : ouvrir une archive, refaire une mesure, revenir à une source ou mobiliser un tiers.</w:t>
      </w:r>
    </w:p>
    <w:p>
      <w:pPr>
        <w:pStyle w:val="Heading2"/>
        <w:keepNext/>
      </w:pPr>
      <w:r>
        <w:t>8.3 Actions, ressources et admissibilité</w:t>
      </w:r>
    </w:p>
    <w:p>
      <w:pPr>
        <w:keepNext w:val="0"/>
      </w:pPr>
      <w:r>
        <w:rPr>
          <w:rFonts w:ascii="Liberation Serif" w:hAnsi="Liberation Serif" w:eastAsia="Liberation Serif"/>
          <w:b w:val="0"/>
          <w:i w:val="0"/>
        </w:rPr>
        <w:t>Une action u est une application partielle sur X. Son exigence de ressources est un sous-ensemble req(u) de l’univers des ressources concevables. Elle est admissible dans le régime courant lorsque req(u) est inclus dans les ressources disponibles S et lorsque son coût est compatible avec B_act.</w:t>
      </w:r>
    </w:p>
    <w:p>
      <w:pPr>
        <w:keepLines/>
        <w:spacing w:before="80" w:after="140"/>
        <w:jc w:val="center"/>
      </w:pPr>
      <w:r>
        <w:rPr>
          <w:rFonts w:ascii="Liberation Serif" w:hAnsi="Liberation Serif" w:eastAsia="Liberation Serif"/>
          <w:b w:val="0"/>
          <w:i/>
          <w:color w:val="243436"/>
          <w:sz w:val="22"/>
        </w:rPr>
        <w:t>u admissible dans ℛ  ⇔  req(u) ⊆ S  et  c(u) ≤ B_act</w:t>
      </w:r>
    </w:p>
    <w:p>
      <w:pPr>
        <w:keepNext w:val="0"/>
      </w:pPr>
      <w:r>
        <w:rPr>
          <w:rFonts w:ascii="Liberation Serif" w:hAnsi="Liberation Serif" w:eastAsia="Liberation Serif"/>
          <w:b w:val="0"/>
          <w:i w:val="0"/>
        </w:rPr>
        <w:t>Cette écriture évite la circularité de la v0.2-T, où req(u) était déjà inclus dans S par construction.</w:t>
      </w:r>
    </w:p>
    <w:p>
      <w:pPr>
        <w:pStyle w:val="Heading2"/>
        <w:keepNext/>
      </w:pPr>
      <w:r>
        <w:t>8.4 États de croyance</w:t>
      </w:r>
    </w:p>
    <w:p>
      <w:pPr>
        <w:keepNext w:val="0"/>
      </w:pPr>
      <w:r>
        <w:rPr>
          <w:rFonts w:ascii="Liberation Serif" w:hAnsi="Liberation Serif" w:eastAsia="Liberation Serif"/>
          <w:b w:val="0"/>
          <w:i w:val="0"/>
        </w:rPr>
        <w:t>Un état de croyance C est l’ensemble non vide des états encore compatibles avec les observations reçues. Une action u est uniformément applicable à C si C⊆dom(u). Après l’action et une nouvelle observation y, la croyance est mise à jour par :</w:t>
      </w:r>
    </w:p>
    <w:p>
      <w:pPr>
        <w:keepLines/>
        <w:spacing w:before="80" w:after="140"/>
        <w:jc w:val="center"/>
      </w:pPr>
      <w:r>
        <w:rPr>
          <w:rFonts w:ascii="Liberation Serif" w:hAnsi="Liberation Serif" w:eastAsia="Liberation Serif"/>
          <w:b w:val="0"/>
          <w:i/>
          <w:color w:val="243436"/>
          <w:sz w:val="22"/>
        </w:rPr>
        <w:t>Upd(C,u,y) = u(C) ∩ π⁻¹(y)</w:t>
      </w:r>
    </w:p>
    <w:p>
      <w:pPr>
        <w:keepNext w:val="0"/>
      </w:pPr>
      <w:r>
        <w:rPr>
          <w:rFonts w:ascii="Liberation Serif" w:hAnsi="Liberation Serif" w:eastAsia="Liberation Serif"/>
          <w:b w:val="0"/>
          <w:i w:val="0"/>
        </w:rPr>
        <w:t>La théorie complète des politiques adaptatives utilisera les croyances atteignables Bel(ℛ). R2-bis n’en mobilise que la version non adaptative : une même séquence doit être applicable à tous les états de C.</w:t>
      </w:r>
    </w:p>
    <w:p>
      <w:pPr>
        <w:pStyle w:val="Heading2"/>
        <w:keepNext/>
      </w:pPr>
      <w:r>
        <w:t>8.5 Trois niveaux opératoires</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Définition 8.1 — Atteignabilité ponctuelle</w:t>
            </w:r>
            <w:r>
              <w:rPr>
                <w:rFonts w:ascii="Liberation Sans" w:hAnsi="Liberation Sans" w:eastAsia="Liberation Sans"/>
                <w:b/>
                <w:i w:val="0"/>
                <w:color w:val="7A4E2D"/>
                <w:sz w:val="19"/>
              </w:rPr>
              <w:t xml:space="preserve"> [F]</w:t>
            </w:r>
            <w:r>
              <w:rPr>
                <w:rFonts w:ascii="Liberation Serif" w:hAnsi="Liberation Serif" w:eastAsia="Liberation Serif"/>
                <w:b w:val="0"/>
                <w:i w:val="0"/>
                <w:sz w:val="19"/>
              </w:rPr>
              <w:br/>
              <w:t>Reach_ℛ(x,K) signifie qu’il existe une séquence admissible, éventuellement choisie en connaissant x, qui conduit x dans K sous le budget déclaré.</w:t>
            </w:r>
          </w:p>
        </w:tc>
      </w:tr>
    </w:tbl>
    <w:p>
      <w:pPr>
        <w:spacing w:after="0"/>
      </w:pP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Définition 8.2 — Atteignabilité uniforme</w:t>
            </w:r>
            <w:r>
              <w:rPr>
                <w:rFonts w:ascii="Liberation Sans" w:hAnsi="Liberation Sans" w:eastAsia="Liberation Sans"/>
                <w:b/>
                <w:i w:val="0"/>
                <w:color w:val="7A4E2D"/>
                <w:sz w:val="19"/>
              </w:rPr>
              <w:t xml:space="preserve"> [F]</w:t>
            </w:r>
            <w:r>
              <w:rPr>
                <w:rFonts w:ascii="Liberation Serif" w:hAnsi="Liberation Serif" w:eastAsia="Liberation Serif"/>
                <w:b w:val="0"/>
                <w:i w:val="0"/>
                <w:sz w:val="19"/>
              </w:rPr>
              <w:br/>
              <w:t>UReach_ℛ(C,K) signifie qu’il existe une même séquence d’actions, successivement définie sur toute l’image courante de C, qui conduit chaque x∈C dans K sous un coût commun admissible.</w:t>
            </w:r>
          </w:p>
        </w:tc>
      </w:tr>
    </w:tbl>
    <w:p>
      <w:pPr>
        <w:spacing w:after="0"/>
      </w:pP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Définition 8.3 — Contrôlabilité adaptative</w:t>
            </w:r>
            <w:r>
              <w:rPr>
                <w:rFonts w:ascii="Liberation Sans" w:hAnsi="Liberation Sans" w:eastAsia="Liberation Sans"/>
                <w:b/>
                <w:i w:val="0"/>
                <w:color w:val="7A4E2D"/>
                <w:sz w:val="19"/>
              </w:rPr>
              <w:t xml:space="preserve"> [F/P]</w:t>
            </w:r>
            <w:r>
              <w:rPr>
                <w:rFonts w:ascii="Liberation Serif" w:hAnsi="Liberation Serif" w:eastAsia="Liberation Serif"/>
                <w:b w:val="0"/>
                <w:i w:val="0"/>
                <w:sz w:val="19"/>
              </w:rPr>
              <w:br/>
              <w:t>Ctrl_ℛ(C,K) signifie qu’il existe une politique choisissant les actions en fonction des observations successives et garantissant que toute évolution compatible atteint K.</w:t>
            </w:r>
          </w:p>
        </w:tc>
      </w:tr>
    </w:tbl>
    <w:p>
      <w:pPr>
        <w:spacing w:after="0"/>
      </w:pPr>
    </w:p>
    <w:p>
      <w:pPr>
        <w:keepLines/>
        <w:spacing w:before="80" w:after="140"/>
        <w:jc w:val="center"/>
      </w:pPr>
      <w:r>
        <w:rPr>
          <w:rFonts w:ascii="Liberation Serif" w:hAnsi="Liberation Serif" w:eastAsia="Liberation Serif"/>
          <w:b w:val="0"/>
          <w:i/>
          <w:color w:val="243436"/>
          <w:sz w:val="22"/>
        </w:rPr>
        <w:t>Ctrl(C,K) ⇒ UReach(C,K) dans le cas sans branchement informatif ; UReach(C,K) ⇒ Reach(x,K) pour tout x∈C</w:t>
      </w:r>
    </w:p>
    <w:p>
      <w:pPr>
        <w:keepNext w:val="0"/>
      </w:pPr>
      <w:r>
        <w:rPr>
          <w:rFonts w:ascii="Liberation Serif" w:hAnsi="Liberation Serif" w:eastAsia="Liberation Serif"/>
          <w:b w:val="0"/>
          <w:i w:val="0"/>
        </w:rPr>
        <w:t>La première implication requiert le cadre exact de politique ; la seconde est immédiate. La réciproque Reach point par point ⇒ UReach est fausse, comme l’établit R2-bis.</w:t>
      </w:r>
    </w:p>
    <w:p>
      <w:pPr>
        <w:pStyle w:val="Heading2"/>
        <w:keepNext/>
      </w:pPr>
      <w:r>
        <w:t>8.6 Monotonie en ressources</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Proposition 8.4 — Monotonie des possibilités opératoires</w:t>
            </w:r>
            <w:r>
              <w:rPr>
                <w:rFonts w:ascii="Liberation Sans" w:hAnsi="Liberation Sans" w:eastAsia="Liberation Sans"/>
                <w:b/>
                <w:i w:val="0"/>
                <w:color w:val="7A4E2D"/>
                <w:sz w:val="19"/>
              </w:rPr>
              <w:t xml:space="preserve"> [D]</w:t>
            </w:r>
            <w:r>
              <w:rPr>
                <w:rFonts w:ascii="Liberation Serif" w:hAnsi="Liberation Serif" w:eastAsia="Liberation Serif"/>
                <w:b w:val="0"/>
                <w:i w:val="0"/>
                <w:sz w:val="19"/>
              </w:rPr>
              <w:br/>
              <w:t>À espace d’états, actions et coûts communs, si S₁⊆S₂, toute séquence admissible sous S₁ l’est sous S₂. Les ensembles de Reach et de UReach ne peuvent donc que croître lorsque les ressources augmentent.</w:t>
            </w:r>
          </w:p>
        </w:tc>
      </w:tr>
    </w:tbl>
    <w:p>
      <w:pPr>
        <w:spacing w:after="0"/>
      </w:pPr>
    </w:p>
    <w:p>
      <w:pPr>
        <w:pStyle w:val="Heading1"/>
        <w:keepNext/>
      </w:pPr>
      <w:r>
        <w:t>Chapitre 9 — Laboratoire R2-bis : point par point, uniforme et non-reconstruction</w:t>
      </w:r>
    </w:p>
    <w:p>
      <w:pPr>
        <w:pStyle w:val="Heading2"/>
        <w:keepNext/>
      </w:pPr>
      <w:r>
        <w:t>9.1 Objet et statut</w:t>
      </w:r>
    </w:p>
    <w:p>
      <w:pPr>
        <w:keepNext w:val="0"/>
      </w:pPr>
      <w:r>
        <w:rPr>
          <w:rFonts w:ascii="Liberation Serif" w:hAnsi="Liberation Serif" w:eastAsia="Liberation Serif"/>
          <w:b w:val="0"/>
          <w:i w:val="0"/>
        </w:rPr>
        <w:t>R2-bis ne formalise pas encore le contrôle adaptatif complet. Il ferme deux non-implications finies au niveau de UReach : l’échec de reconstruction n’interdit pas une restauration uniforme ; et la réparabilité individuelle de tous les états d’une croyance n’assure pas l’existence d’une séquence commune.</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Artefact R2-bis</w:t>
            </w:r>
            <w:r>
              <w:rPr>
                <w:rFonts w:ascii="Liberation Sans" w:hAnsi="Liberation Sans" w:eastAsia="Liberation Sans"/>
                <w:b/>
                <w:i w:val="0"/>
                <w:color w:val="7A4E2D"/>
                <w:sz w:val="19"/>
              </w:rPr>
              <w:t xml:space="preserve"> [M]</w:t>
            </w:r>
            <w:r>
              <w:rPr>
                <w:rFonts w:ascii="Liberation Serif" w:hAnsi="Liberation Serif" w:eastAsia="Liberation Serif"/>
                <w:b w:val="0"/>
                <w:i w:val="0"/>
                <w:sz w:val="19"/>
              </w:rPr>
              <w:br/>
              <w:t>Le script laboratoire_R2_bis.py vérifie les deux témoins et reproduit les sorties attendues. SHA-256 : 6b3cf4fad087ab30173d68e4c4336826c523534fe442f6972de573637e0462e5. Sortie : aae5d6587992e43fd49a3024701ec4b1489345335bfc9eb5fdac6d890aae1444.</w:t>
            </w:r>
          </w:p>
        </w:tc>
      </w:tr>
    </w:tbl>
    <w:p>
      <w:pPr>
        <w:spacing w:after="0"/>
      </w:pPr>
    </w:p>
    <w:p>
      <w:pPr>
        <w:pStyle w:val="Heading2"/>
        <w:keepNext/>
      </w:pPr>
      <w:r>
        <w:t>9.2 Témoin positif : restauration uniforme sans reconstruction</w:t>
      </w:r>
    </w:p>
    <w:p>
      <w:pPr>
        <w:keepNext w:val="0"/>
      </w:pPr>
      <w:r>
        <w:rPr>
          <w:rFonts w:ascii="Liberation Serif" w:hAnsi="Liberation Serif" w:eastAsia="Liberation Serif"/>
          <w:b w:val="0"/>
          <w:i w:val="0"/>
        </w:rPr>
        <w:t>Posons X={p,q,g}, C₀={p,q}, G(p)=1, G(q)=0, G(g)=1 et K={p,g}. Toutes les informations immédiatement lisibles confondent p et q : I₀(p)=I₀(q). Comme G(p)≠G(q), la cible G ne descend pas de I₀.</w:t>
      </w:r>
    </w:p>
    <w:p>
      <w:pPr>
        <w:keepLines/>
        <w:spacing w:before="80" w:after="140"/>
        <w:jc w:val="center"/>
      </w:pPr>
      <w:r>
        <w:rPr>
          <w:rFonts w:ascii="Liberation Serif" w:hAnsi="Liberation Serif" w:eastAsia="Liberation Serif"/>
          <w:b w:val="0"/>
          <w:i/>
          <w:color w:val="243436"/>
          <w:sz w:val="22"/>
        </w:rPr>
        <w:t>I₀(p)=I₀(q) et G(p)≠G(q)  ⇒  ¬Rec_ℛ(G)</w:t>
      </w:r>
    </w:p>
    <w:p>
      <w:pPr>
        <w:keepNext w:val="0"/>
      </w:pPr>
      <w:r>
        <w:rPr>
          <w:rFonts w:ascii="Liberation Serif" w:hAnsi="Liberation Serif" w:eastAsia="Liberation Serif"/>
          <w:b w:val="0"/>
          <w:i w:val="0"/>
        </w:rPr>
        <w:t>Définissons une action totale de réinitialisation : u_reset(p)=u_reset(q)=u_reset(g)=g. Elle est admissible, son coût ne dépasse pas B_act et son image de C₀ est incluse dans K.</w:t>
      </w:r>
    </w:p>
    <w:p>
      <w:pPr>
        <w:keepLines/>
        <w:spacing w:before="80" w:after="140"/>
        <w:jc w:val="center"/>
      </w:pPr>
      <w:r>
        <w:rPr>
          <w:rFonts w:ascii="Liberation Serif" w:hAnsi="Liberation Serif" w:eastAsia="Liberation Serif"/>
          <w:b w:val="0"/>
          <w:i/>
          <w:color w:val="243436"/>
          <w:sz w:val="22"/>
        </w:rPr>
        <w:t>u_reset(C₀)={g}⊆K  ⇒  UReach_ℛ(C₀,K)</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THM-R2B-P — Succès opératoire sans reconstruction</w:t>
            </w:r>
            <w:r>
              <w:rPr>
                <w:rFonts w:ascii="Liberation Sans" w:hAnsi="Liberation Sans" w:eastAsia="Liberation Sans"/>
                <w:b/>
                <w:i w:val="0"/>
                <w:color w:val="7A4E2D"/>
                <w:sz w:val="19"/>
              </w:rPr>
              <w:t xml:space="preserve"> [D, fini ; M]</w:t>
            </w:r>
            <w:r>
              <w:rPr>
                <w:rFonts w:ascii="Liberation Serif" w:hAnsi="Liberation Serif" w:eastAsia="Liberation Serif"/>
                <w:b w:val="0"/>
                <w:i w:val="0"/>
                <w:sz w:val="19"/>
              </w:rPr>
              <w:br/>
              <w:t>Il existe un régime fini tel que ¬Rec_ℛ(G) et UReach_ℛ(C₀,K). Ne pas savoir si la réparation est nécessaire n’implique donc pas l’impossibilité de garantir la réparation.</w:t>
            </w:r>
          </w:p>
        </w:tc>
      </w:tr>
    </w:tbl>
    <w:p>
      <w:pPr>
        <w:spacing w:after="0"/>
      </w:pPr>
    </w:p>
    <w:p>
      <w:pPr>
        <w:keepNext w:val="0"/>
      </w:pPr>
      <w:r>
        <w:rPr>
          <w:rFonts w:ascii="Liberation Serif" w:hAnsi="Liberation Serif" w:eastAsia="Liberation Serif"/>
          <w:b w:val="0"/>
          <w:i w:val="0"/>
        </w:rPr>
        <w:t>L’idempotence u_reset∘u_reset=u_reset renforce le témoin : la même action peut être exécutée lorsque l’état est déjà satisfaisant sans dégrader le résultat.</w:t>
      </w:r>
    </w:p>
    <w:p>
      <w:pPr>
        <w:pStyle w:val="Heading2"/>
        <w:keepNext/>
      </w:pPr>
      <w:r>
        <w:t>9.3 Témoin négatif : réparabilité individuelle sans séquence commune</w:t>
      </w:r>
    </w:p>
    <w:p>
      <w:pPr>
        <w:keepNext w:val="0"/>
      </w:pPr>
      <w:r>
        <w:rPr>
          <w:rFonts w:ascii="Liberation Serif" w:hAnsi="Liberation Serif" w:eastAsia="Liberation Serif"/>
          <w:b w:val="0"/>
          <w:i w:val="0"/>
        </w:rPr>
        <w:t>Posons X={p,q,g,b}, C₀={p,q}, K={g}. Deux actions sont définies sur toute la croyance initiale :</w:t>
      </w:r>
    </w:p>
    <w:tbl>
      <w:tblPr>
        <w:tblW w:type="auto" w:w="0"/>
        <w:jc w:val="center"/>
        <w:tblLayout w:type="fixed"/>
        <w:tblLook w:firstColumn="1" w:firstRow="1" w:lastColumn="0" w:lastRow="0" w:noHBand="0" w:noVBand="1" w:val="04A0"/>
      </w:tblPr>
      <w:tblGrid>
        <w:gridCol w:w="3274"/>
        <w:gridCol w:w="3274"/>
        <w:gridCol w:w="3274"/>
      </w:tblGrid>
      <w:tr>
        <w:trPr>
          <w:tblHeader w:val="true"/>
          <w:cantSplit/>
          <w:tblHeader w:val="true"/>
        </w:trPr>
        <w:tc>
          <w:tcPr>
            <w:tcW w:type="dxa" w:w="90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État</w:t>
            </w:r>
          </w:p>
        </w:tc>
        <w:tc>
          <w:tcPr>
            <w:tcW w:type="dxa" w:w="1548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u_p</w:t>
            </w:r>
          </w:p>
        </w:tc>
        <w:tc>
          <w:tcPr>
            <w:tcW w:type="dxa" w:w="1548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u_q</w:t>
            </w:r>
          </w:p>
        </w:tc>
      </w:tr>
      <w:tr>
        <w:trPr>
          <w:cantSplit/>
        </w:trPr>
        <w:tc>
          <w:tcPr>
            <w:tcW w:type="dxa" w:w="90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8"/>
              </w:rPr>
              <w:t>p</w:t>
            </w:r>
          </w:p>
        </w:tc>
        <w:tc>
          <w:tcPr>
            <w:tcW w:type="dxa" w:w="154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8"/>
              </w:rPr>
              <w:t>g</w:t>
            </w:r>
          </w:p>
        </w:tc>
        <w:tc>
          <w:tcPr>
            <w:tcW w:type="dxa" w:w="154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8"/>
              </w:rPr>
              <w:t>b</w:t>
            </w:r>
          </w:p>
        </w:tc>
      </w:tr>
      <w:tr>
        <w:trPr>
          <w:cantSplit/>
        </w:trPr>
        <w:tc>
          <w:tcPr>
            <w:tcW w:type="dxa" w:w="90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8"/>
              </w:rPr>
              <w:t>q</w:t>
            </w:r>
          </w:p>
        </w:tc>
        <w:tc>
          <w:tcPr>
            <w:tcW w:type="dxa" w:w="154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8"/>
              </w:rPr>
              <w:t>b</w:t>
            </w:r>
          </w:p>
        </w:tc>
        <w:tc>
          <w:tcPr>
            <w:tcW w:type="dxa" w:w="154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8"/>
              </w:rPr>
              <w:t>g</w:t>
            </w:r>
          </w:p>
        </w:tc>
      </w:tr>
    </w:tbl>
    <w:p>
      <w:pPr>
        <w:spacing w:after="0"/>
      </w:pPr>
    </w:p>
    <w:p>
      <w:pPr>
        <w:keepNext w:val="0"/>
      </w:pPr>
      <w:r>
        <w:rPr>
          <w:rFonts w:ascii="Liberation Serif" w:hAnsi="Liberation Serif" w:eastAsia="Liberation Serif"/>
          <w:b w:val="0"/>
          <w:i w:val="0"/>
        </w:rPr>
        <w:t>Ainsi u_p répare p mais envoie q vers b, tandis que u_q répare q mais envoie p vers b. Les deux actions sont uniformément applicables à C₀, mais aucune ne restaure C₀ en un pas.</w:t>
      </w:r>
    </w:p>
    <w:p>
      <w:pPr>
        <w:keepLines/>
        <w:spacing w:before="80" w:after="140"/>
        <w:jc w:val="center"/>
      </w:pPr>
      <w:r>
        <w:rPr>
          <w:rFonts w:ascii="Liberation Serif" w:hAnsi="Liberation Serif" w:eastAsia="Liberation Serif"/>
          <w:b w:val="0"/>
          <w:i/>
          <w:color w:val="243436"/>
          <w:sz w:val="22"/>
        </w:rPr>
        <w:t>u_p(C₀)=u_q(C₀)={g,b} ⊄ K</w:t>
      </w:r>
    </w:p>
    <w:p>
      <w:pPr>
        <w:keepNext w:val="0"/>
      </w:pPr>
      <w:r>
        <w:rPr>
          <w:rFonts w:ascii="Liberation Serif" w:hAnsi="Liberation Serif" w:eastAsia="Liberation Serif"/>
          <w:b w:val="0"/>
          <w:i w:val="0"/>
        </w:rPr>
        <w:t>Aucune action n’est définie sur l’ensemble {g,b}. Après le premier pas, toute séquence commune est donc bloquée. Pourtant p atteint g par u_p et q atteint g par u_q.</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THM-R2B-N — Reach point par point n’implique pas UReach</w:t>
            </w:r>
            <w:r>
              <w:rPr>
                <w:rFonts w:ascii="Liberation Sans" w:hAnsi="Liberation Sans" w:eastAsia="Liberation Sans"/>
                <w:b/>
                <w:i w:val="0"/>
                <w:color w:val="7A4E2D"/>
                <w:sz w:val="19"/>
              </w:rPr>
              <w:t xml:space="preserve"> [D, fini ; M]</w:t>
            </w:r>
            <w:r>
              <w:rPr>
                <w:rFonts w:ascii="Liberation Serif" w:hAnsi="Liberation Serif" w:eastAsia="Liberation Serif"/>
                <w:b w:val="0"/>
                <w:i w:val="0"/>
                <w:sz w:val="19"/>
              </w:rPr>
              <w:br/>
              <w:t>Il existe un régime fini et une croyance C₀ tels que Reach_ℛ(x,K) soit vrai pour tout x∈C₀, tandis que UReach_ℛ(C₀,K) est faux.</w:t>
            </w:r>
          </w:p>
        </w:tc>
      </w:tr>
    </w:tbl>
    <w:p>
      <w:pPr>
        <w:spacing w:after="0"/>
      </w:pPr>
    </w:p>
    <w:p>
      <w:pPr>
        <w:pStyle w:val="Heading2"/>
        <w:keepNext/>
      </w:pPr>
      <w:r>
        <w:t>9.4 Variante faible par défaut de domaine</w:t>
      </w:r>
    </w:p>
    <w:p>
      <w:pPr>
        <w:keepNext w:val="0"/>
      </w:pPr>
      <w:r>
        <w:rPr>
          <w:rFonts w:ascii="Liberation Serif" w:hAnsi="Liberation Serif" w:eastAsia="Liberation Serif"/>
          <w:b w:val="0"/>
          <w:i w:val="0"/>
        </w:rPr>
        <w:t>Une variante plus simple prend dom(u_p)={p} et dom(u_q)={q}. Chaque état est individuellement réparable, mais aucune action n’est admissible sur C₀. Cette variante atteste une obstruction de domaine ; le témoin fort précédent est préférable parce que les actions sont applicables à toute la croyance et échouent par incompatibilité de leurs effets.</w:t>
      </w:r>
    </w:p>
    <w:p>
      <w:pPr>
        <w:pStyle w:val="Heading2"/>
        <w:keepNext/>
      </w:pPr>
      <w:r>
        <w:t>9.5 Portée scientifique de R2-bis</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top w:val="single" w:sz="4" w:color="D6E3E3"/>
              <w:left w:val="single" w:sz="20" w:color="2E5D62"/>
              <w:bottom w:val="single" w:sz="4" w:color="D6E3E3"/>
              <w:right w:val="single" w:sz="4" w:color="D6E3E3"/>
            </w:tcBorders>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243436"/>
                <w:sz w:val="22"/>
              </w:rPr>
              <w:t>information manquante  ⇏  incapacité de restaurer ; réparabilité individuelle  ⇏  réparation uniforme</w:t>
            </w:r>
          </w:p>
        </w:tc>
      </w:tr>
    </w:tbl>
    <w:p>
      <w:pPr>
        <w:spacing w:after="0"/>
      </w:pPr>
    </w:p>
    <w:p>
      <w:pPr>
        <w:keepNext w:val="0"/>
      </w:pPr>
      <w:r>
        <w:rPr>
          <w:rFonts w:ascii="Liberation Serif" w:hAnsi="Liberation Serif" w:eastAsia="Liberation Serif"/>
          <w:b w:val="0"/>
          <w:i w:val="0"/>
        </w:rPr>
        <w:t>R2-bis déplace le centre de la reprise. Sous observation partielle, la question décisive n’est pas seulement de connaître l’état réel, mais de savoir si une action ou une séquence robuste existe sur toute la cellule d’incertitude. Le contrôle adaptatif pourra ensuite exploiter les observations intermédiaires ; cette extension demeure séparée.</w:t>
      </w:r>
    </w:p>
    <w:p>
      <w:pPr>
        <w:pStyle w:val="Heading1"/>
        <w:keepNext/>
        <w:pageBreakBefore/>
      </w:pPr>
      <w:r>
        <w:rPr>
          <w:b w:val="0"/>
          <w:i w:val="0"/>
        </w:rPr>
        <w:t>Chapitre 10 — Filtration bornée, coût informationnel et compressibilité dynamique</w:t>
      </w:r>
    </w:p>
    <w:p>
      <w:pPr>
        <w:pStyle w:val="Heading2"/>
        <w:keepNext/>
      </w:pPr>
      <w:r>
        <w:rPr>
          <w:b w:val="0"/>
          <w:i w:val="0"/>
        </w:rPr>
        <w:t>10.1 Du prédicat UReach à une filtration simpliciale</w:t>
      </w:r>
    </w:p>
    <w:p>
      <w:pPr/>
      <w:r>
        <w:rPr>
          <w:b w:val="0"/>
          <w:i w:val="0"/>
        </w:rPr>
        <w:t>Soit ℛ=(X,𝒰) un régime déterministe à actions partielles, C⊆X une cellule d’incertitude et K_A⊆X une région cible. Pour t∈ℕ∪{∞}, on considère toutes les sous-cellules réparables par un même mot de longueur bornée.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10.1 — filtration de réparabilité uniforme [F]</w:t>
            </w:r>
          </w:p>
          <w:p>
            <w:pPr>
              <w:spacing w:before="20" w:after="40" w:line="252" w:lineRule="auto"/>
            </w:pPr>
            <w:r>
              <w:t>𝒦_ℛ^(t)(C,K_A) := {D⊆C : ∃w∈𝒰*, |w|≤t, D⊆dom(w) et w(D)⊆K_A}. Chaque 𝒦_ℛ^(t) est un complexe simplicial, 𝒦^(0)⊆𝒦^(1)⊆⋯⊆𝒦^(∞), et D∈𝒦^(∞) équivaut à UReach_ℛ(D,K_A).</w:t>
            </w:r>
          </w:p>
        </w:tc>
      </w:tr>
    </w:tbl>
    <w:p>
      <w:pPr/>
      <w:r>
        <w:rPr>
          <w:b w:val="0"/>
          <w:i w:val="0"/>
        </w:rPr>
        <w:t>L’hérédité est immédiate : tout mot qui répare D répare chacune de ses parties. La limite 𝒦^(∞) décrit seulement la réparabilité qualitative ; la filtration entière conserve le coût temporel et les changements de structure qui conduisent à cette limite.</w:t>
      </w:r>
    </w:p>
    <w:p>
      <w:pPr>
        <w:pStyle w:val="Heading2"/>
        <w:keepNext/>
      </w:pPr>
      <w:r>
        <w:rPr>
          <w:b w:val="0"/>
          <w:i w:val="0"/>
        </w:rPr>
        <w:t>10.2 Temps de naissance et obstructions minimales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10.2 — temps uniforme de naissance [F]</w:t>
            </w:r>
          </w:p>
          <w:p>
            <w:pPr>
              <w:spacing w:before="20" w:after="40" w:line="252" w:lineRule="auto"/>
            </w:pPr>
            <w:r>
              <w:t>Pour éviter la collision avec la trace statique τ(ρ)=ρ∩Eq(π), on écrit dans ce manuscrit τ_B,ℛ(D;K_A) := min{t∈ℕ : D∈𝒦_ℛ^(t)(C,K_A)}, avec la valeur +∞ si D n’apparaît jamais. Les notes antérieures notaient simplement τ(D,K_A).</w:t>
            </w:r>
          </w:p>
        </w:tc>
      </w:tr>
    </w:tbl>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10.3 — obstruction inductive [F]</w:t>
            </w:r>
          </w:p>
          <w:p>
            <w:pPr>
              <w:spacing w:before="20" w:after="40" w:line="252" w:lineRule="auto"/>
            </w:pPr>
            <w:r>
              <w:t>𝒪_t(C) := {D⊆C : D∉𝒦^(t) et tout E⊊D appartient à 𝒦^(t)}. Alors D∈𝒦^(t) si et seulement si D ne contient aucun élément de 𝒪_t(C). Les non-faces minimales fournissent donc un certificat complet de l’échec à l’horizon t.</w:t>
            </w:r>
          </w:p>
        </w:tc>
      </w:tr>
    </w:tbl>
    <w:p>
      <w:pPr/>
      <w:r>
        <w:rPr>
          <w:b w:val="0"/>
          <w:i w:val="0"/>
        </w:rPr>
        <w:t>La paire (𝒦^(∞),τ_B) sépare la possibilité finale de son coût. Deux régimes peuvent avoir la même limite et des fonctions de naissance entièrement différentes ; le théorème simplicial à horizon 1 ne voyait précisément pas cette différence.</w:t>
      </w:r>
    </w:p>
    <w:p>
      <w:pPr>
        <w:pStyle w:val="Heading2"/>
        <w:keepNext/>
      </w:pPr>
      <w:r>
        <w:rPr>
          <w:b w:val="0"/>
          <w:i w:val="0"/>
        </w:rPr>
        <w:t>10.3 LEM-B0 — complétion conservatrice par échec absorbant</w:t>
      </w:r>
    </w:p>
    <w:p>
      <w:pPr/>
      <w:r>
        <w:rPr>
          <w:b w:val="0"/>
          <w:i w:val="0"/>
        </w:rPr>
        <w:t>On adjoint un état ⊥∉X, on pose X̄=X⊔{⊥}, et l’on complète chaque action partielle u par l’action totale ū qui coïncide avec u sur dom(u), envoie toute indéfinition sur ⊥ et fixe ⊥. Toute cible reste incluse dans X, donc ⊥∉K_A.</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LEM-B0 — fidélité mot à mot de la complétion [D]</w:t>
            </w:r>
          </w:p>
          <w:p>
            <w:pPr>
              <w:spacing w:before="20" w:after="40" w:line="252" w:lineRule="auto"/>
            </w:pPr>
            <w:r>
              <w:t>Pour tout mot w∈𝒰* et tout x∈X, w̄(x)=w(x) si x∈dom(w), et w̄(x)=⊥ sinon. Par conséquent, pour tout D⊆X : D⊆dom(w) et w(D)⊆K_A ⇔ w̄(D)⊆K_A.</w:t>
            </w:r>
          </w:p>
        </w:tc>
      </w:tr>
    </w:tbl>
    <w:p>
      <w:pPr/>
      <w:r>
        <w:rPr>
          <w:b w:val="0"/>
          <w:i w:val="0"/>
        </w:rPr>
        <w:t>Preuve. L’identité sur les mots se démontre par induction sur la longueur. Si un préfixe devient indéfini, l’état complété atteint ⊥ et y reste ; si chaque lettre est définie, la complétion reproduit exactement le calcul partiel. Comme ⊥ n’appartient pas à la cible, l’inclusion w̄(D)⊆K_A exclut toute indéfinition et impose l’inclusion finale voulue.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Corollaire 10.4 — conservation de toute la sémantique bornée [D]</w:t>
            </w:r>
          </w:p>
          <w:p>
            <w:pPr>
              <w:spacing w:before="20" w:after="40" w:line="252" w:lineRule="auto"/>
            </w:pPr>
            <w:r>
              <w:t>Pour tout C et tout t, 𝒦_ℛ^(t)(C,K_A)=𝒦_R̄^(t)(C,K_A). Sont donc inchangés : τ_B, les familles 𝒪_t, les nombres κ_t, la frontière information–horizon et les modules de persistance associés.</w:t>
            </w:r>
          </w:p>
        </w:tc>
      </w:tr>
    </w:tbl>
    <w:p>
      <w:pPr/>
      <w:r>
        <w:rPr>
          <w:b w:val="0"/>
          <w:i w:val="0"/>
        </w:rPr>
        <w:t>La complétion n’est pas une réduction à la synchronisation classique des automates complets : elle transforme la partialité en contrainte d’évitement de ⊥. La difficulté combinatoire est conservée, et aucune borne polynomiale du sous-régime total ne se transfère par simple changement de notation.</w:t>
      </w:r>
    </w:p>
    <w:p>
      <w:pPr>
        <w:pStyle w:val="Heading2"/>
        <w:keepNext/>
      </w:pPr>
      <w:r>
        <w:rPr>
          <w:b w:val="0"/>
          <w:i w:val="0"/>
        </w:rPr>
        <w:t>10.4 Langages de Nerode : prétraitement par cible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10.5 — langage gagnant et équivalence relative [F]</w:t>
            </w:r>
          </w:p>
          <w:p>
            <w:pPr>
              <w:spacing w:before="20" w:after="40" w:line="252" w:lineRule="auto"/>
            </w:pPr>
            <w:r>
              <w:t>L_x^ℛ(K_A):={w∈𝒰* : x∈dom(w) et w(x)∈K_A}={w : w̄(x)∈K_A}. On pose x∼_N^{K_A}x′ ⇔ L_x(K_A)=L_x′(K_A). La complétion conserve cette équivalence sur les états originels ; ⊥ peut fusionner avec les états de langage gagnant vide, ce qui est sémantiquement correct.</w:t>
            </w:r>
          </w:p>
        </w:tc>
      </w:tr>
    </w:tbl>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Proposition 10.6 — sûreté uniforme dans une classe de Nerode [D]</w:t>
            </w:r>
          </w:p>
          <w:p>
            <w:pPr>
              <w:spacing w:before="20" w:after="40" w:line="252" w:lineRule="auto"/>
            </w:pPr>
            <w:r>
              <w:t>Si C est contenue dans une seule classe de ∼_N^{K_A} et si un état de C atteint K_A, alors ⋂_{x∈C}L_x(K_A) est non vide. Tout mot de ce langage répare uniformément C.</w:t>
            </w:r>
          </w:p>
        </w:tc>
      </w:tr>
    </w:tbl>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Proposition 10.7 — aucune compression universelle non triviale [D]</w:t>
            </w:r>
          </w:p>
          <w:p>
            <w:pPr>
              <w:spacing w:before="20" w:after="40" w:line="252" w:lineRule="auto"/>
            </w:pPr>
            <w:r>
              <w:t>Si le mot vide est autorisé et si toutes les parties K⊆X, notamment les singletons, sont des cibles admissibles, alors ⋂_{K⊆X}∼_N^K=Δ_X. Pour x≠x′, la cible {x} distingue déjà les deux états par ε.</w:t>
            </w:r>
          </w:p>
        </w:tc>
      </w:tr>
    </w:tbl>
    <w:p>
      <w:pPr/>
      <w:r>
        <w:rPr>
          <w:b w:val="0"/>
          <w:i w:val="0"/>
        </w:rPr>
        <w:t>La collection K↦X/∼_N^K est une famille indexée, non un diagramme canonique sur le treillis des cibles. Avec pour seul mot ε, les partitions associées à K={a} et K′={a,b} sont respectivement {{a},{b,c}} et {{a,b},{c}} : bien que K⊂K′, elles sont incomparables. Nerode reste donc un prétraitement interne à une instance ; la tour Gen→ExtReg→Obs lui est logiquement antérieure.</w:t>
      </w:r>
    </w:p>
    <w:p>
      <w:pPr>
        <w:pStyle w:val="Heading2"/>
        <w:keepNext/>
      </w:pPr>
      <w:r>
        <w:rPr>
          <w:b w:val="0"/>
          <w:i w:val="0"/>
        </w:rPr>
        <w:t>10.5 THM-B-FILT — réalisation de toute filtration finie admissible</w:t>
      </w:r>
    </w:p>
    <w:p>
      <w:pPr/>
      <w:r>
        <w:rPr>
          <w:b w:val="0"/>
          <w:i w:val="0"/>
        </w:rPr>
        <w:t>Soit C fini et 𝔽^(0)⊆𝔽^(1)⊆⋯⊆𝔽^(T) une filtration croissante de complexes simpliciaux sur C. La seule contrainte de l’horizon zéro est l’existence de C₀⊆C tel que 𝔽^(0)=2^{C₀}.</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THM-B-FILT — réalisation avec états auxiliaires [D, fini]</w:t>
            </w:r>
          </w:p>
          <w:p>
            <w:pPr>
              <w:spacing w:before="20" w:after="40" w:line="252" w:lineRule="auto"/>
            </w:pPr>
            <w:r>
              <w:t>La condition 𝔽^(0)=2^{C₀} est nécessaire et suffisante. En posant β(D)=min{t : D∈𝔽^(t)} et β(D)=+∞ si D n’apparaît pas, on construit, pour chaque face non vide F de naissance r=β(F)≥1, une chaîne privée de r actions qui est définie d’abord exactement sur F puis conduit à un état gagnant g. Avec K_A=C₀⊔{g}, on obtient τ_B(D)=β(D) pour tout D⊆C, donc 𝒦^(t)(C)=𝔽^(t) pour 0≤t≤T.</w:t>
            </w:r>
          </w:p>
        </w:tc>
      </w:tr>
    </w:tbl>
    <w:p>
      <w:pPr/>
      <w:r>
        <w:rPr>
          <w:b w:val="0"/>
          <w:i w:val="0"/>
        </w:rPr>
        <w:t>Construction. Si r=1, l’action a_{F,1} envoie chaque x∈F sur g. Si r&gt;1, elle envoie F sur q_{F,1}, puis a_{F,j} envoie q_{F,j−1} sur q_{F,j}, et la dernière action atteint g. Toutes les autres valeurs sont indéfinies. Un mot gagnant partant de D doit choisir une chaîne associée à un F⊇D et la suivre jusqu’au bout ; ainsi τ_B(D)=min_{F⊇D}β(F)=β(D), l’égalité finale venant de l’hérédité et du choix F=D.</w:t>
      </w:r>
    </w:p>
    <w:p>
      <w:pPr/>
      <w:r>
        <w:rPr>
          <w:b w:val="0"/>
          <w:i w:val="0"/>
        </w:rPr>
        <w:t>La construction utilise au plus Σ_F β(F) actions et 1+Σ_F(β(F)−1) états auxiliaires, les sommes portant sur les faces non vides de naissance finie et positive. La complétion ajoute un unique état ⊥. Elle prouve la réalisabilité tout court, mais non la réalisation compacte.</w:t>
      </w:r>
    </w:p>
    <w:p>
      <w:pPr>
        <w:pStyle w:val="Heading2"/>
        <w:keepNext/>
      </w:pPr>
      <w:r>
        <w:rPr>
          <w:b w:val="0"/>
          <w:i w:val="0"/>
        </w:rPr>
        <w:t>10.6 Portées réparatrices et borne de compressibilité</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Lemme 10.8 — représentation par portées [D]</w:t>
            </w:r>
          </w:p>
          <w:p>
            <w:pPr>
              <w:spacing w:before="20" w:after="40" w:line="252" w:lineRule="auto"/>
            </w:pPr>
            <w:r>
              <w:t>Pour un mot w, poser R(w):={x∈C : x∈dom(w) et w(x)∈K_A}. Alors 𝒦^(t)(C)=↓{R(w):|w|≤t}, la clôture héréditaire des portées de longueur bornée. En particulier, toute facette de 𝒦^(t) est la portée d’un mot de longueur au plus t.</w:t>
            </w:r>
          </w:p>
        </w:tc>
      </w:tr>
    </w:tbl>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THM-B-COMP — borne facettes / alphabet / horizon [D]</w:t>
            </w:r>
          </w:p>
          <w:p>
            <w:pPr>
              <w:spacing w:before="20" w:after="40" w:line="252" w:lineRule="auto"/>
            </w:pPr>
            <w:r>
              <w:t>Soit N_t le nombre de facettes de 𝒦^(t)(C) et m=|𝒰|. Alors N_t≤1+m+⋯+m^t. Pour m≥2, N_t≤2m^t et donc m≥(N_t/2)^{1/t}. À l’horizon 1, la borne exacte est m≥N_1−1.</w:t>
            </w:r>
          </w:p>
        </w:tc>
      </w:tr>
    </w:tbl>
    <w:p>
      <w:pPr/>
      <w:r>
        <w:rPr>
          <w:b w:val="0"/>
          <w:i w:val="0"/>
        </w:rPr>
        <w:t>La condition d’horizon zéro est ainsi dérivée : le seul mot de longueur zéro est ε, R(ε)=C∩K_A et 𝒦^(0)=2^{C∩K_A}. L’échange horizon–alphabet est quantifié : pour une complexité facettale fixée, réduire t augmente la puissance 1/t imposée au nombre d’actions. La construction une action par facette est optimale à un facteur constant à l’horizon 1 ; les chaînes privées économisent l’alphabet en payant de l’horizon et des états.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10.9 — profil de compressibilité dynamique [F/P]</w:t>
            </w:r>
          </w:p>
          <w:p>
            <w:pPr>
              <w:spacing w:before="20" w:after="40" w:line="252" w:lineRule="auto"/>
            </w:pPr>
            <w:r>
              <w:t>Pour une filtration finie 𝔽^•, on appelle profil de compressibilité l’ensemble des triplets Pareto-minimaux (s,m,r) parmi ses réalisations, où s compte les états auxiliaires, m les actions et r=Σ_u|dom(u)| les incidences action–état. THM-B-COMP minore m par max_{1≤t≤T}(N_t/2)^{1/t}; THM-B-FILT fournit une borne supérieure explicite mais généralement dispendieuse.</w:t>
            </w:r>
          </w:p>
        </w:tc>
      </w:tr>
    </w:tbl>
    <w:p>
      <w:pPr/>
      <w:r>
        <w:rPr>
          <w:b w:val="0"/>
          <w:i w:val="0"/>
        </w:rPr>
        <w:t>Le problème neuf n’est donc plus « quelles filtrations sont réalisables ? », mais « combien d’états, d’actions et de relations partagées faut-il pour comprimer leur fonction de naissance ? ». Restent ouverts la borne supérieure serrée, le rôle propre des états auxiliaires et l’existence de familles présentant un écart exponentiel entre le minorant et la meilleure réalisation.</w:t>
      </w:r>
    </w:p>
    <w:p>
      <w:pPr>
        <w:pStyle w:val="Heading2"/>
        <w:keepNext/>
      </w:pPr>
      <w:r>
        <w:rPr>
          <w:b w:val="0"/>
          <w:i w:val="0"/>
        </w:rPr>
        <w:t>10.7 Information préalable, partitions et véritable frontière de Pareto</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10.10 — nombre minimal de cellules observables [F]</w:t>
            </w:r>
          </w:p>
          <w:p>
            <w:pPr>
              <w:spacing w:before="20" w:after="40" w:line="252" w:lineRule="auto"/>
            </w:pPr>
            <w:r>
              <w:t>Soit Part(C) l’ensemble des partitions de C. On pose κ_t(C):=min{|𝒫| : 𝒫∈Part(C) et chaque bloc B∈𝒫 appartient à 𝒦^(t)(C)}, avec κ_t=+∞ si aucune partition n’est admissible. Sous une observation unique effectuée avant l’action, avec un coût dépendant seulement du nombre de cellules, ⌈log₂κ_t⌉ est le nombre minimal de bits permettant de choisir une réparation garantie à l’horizon t.</w:t>
            </w:r>
          </w:p>
        </w:tc>
      </w:tr>
    </w:tbl>
    <w:p>
      <w:pPr/>
      <w:r>
        <w:rPr>
          <w:b w:val="0"/>
          <w:i w:val="0"/>
        </w:rPr>
        <w:t>Le domaine faisable est 𝔇(C)={(b,t)∈ℕ² : κ_t(C)≤2^b}. L’ensemble des points (⌈log₂κ_t⌉,t) peut contenir des points dominés : si κ_t reste constant, l’horizon le plus grand n’est jamais Pareto-optimal ; même une baisse de κ_t peut ne pas changer son plafond logarithmique.</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Proposition 10.11 — frontière information–horizon corrigée [D]</w:t>
            </w:r>
          </w:p>
          <w:p>
            <w:pPr>
              <w:spacing w:before="20" w:after="40" w:line="252" w:lineRule="auto"/>
            </w:pPr>
            <w:r>
              <w:t>La frontière est Min_≤𝔇(C), l’ensemble des éléments minimaux pour l’ordre produit. Sa présentation calculable est la fonction inverse t_min(b):=min{t∈ℕ : κ_t(C)≤2^b}, à valeurs dans ℕ∪{∞}. Elle est en escalier et non croissante. La valeur +∞ apparaît notamment lorsqu’un singleton de C n’appartient à aucune 𝒦^(t), car aucune observation préalable ne peut alors rendre cet état réparable.</w:t>
            </w:r>
          </w:p>
        </w:tc>
      </w:tr>
    </w:tbl>
    <w:p>
      <w:pPr>
        <w:pStyle w:val="Heading2"/>
        <w:keepNext/>
      </w:pPr>
      <w:r>
        <w:rPr>
          <w:b w:val="0"/>
          <w:i w:val="0"/>
        </w:rPr>
        <w:t>10.8 Archives contraintes et acquisitions séquentielles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Définition 10.12 — frontière sous partitions accessibles [F]</w:t>
            </w:r>
          </w:p>
          <w:p>
            <w:pPr>
              <w:spacing w:before="20" w:after="40" w:line="252" w:lineRule="auto"/>
            </w:pPr>
            <w:r>
              <w:t>Pour une famille Part⁺(C) de partitions effectivement accessibles, κ_t^{Part⁺}(C):=min{|𝒫| : 𝒫∈Part⁺(C) et ∀B∈𝒫, B∈𝒦^(t)}. La frontière contrainte se calcule avec κ_t^{Part⁺}, non avec κ_t.</w:t>
            </w:r>
          </w:p>
        </w:tc>
      </w:tr>
    </w:tbl>
    <w:p>
      <w:pPr/>
      <w:r>
        <w:rPr>
          <w:b w:val="0"/>
          <w:i w:val="0"/>
        </w:rPr>
        <w:t>La filtration statique décrit seulement le cas où l’observation est choisie une fois avant l’action. Si une acquisition modifie l’état, consomme une ressource ou s’entrelace avec les actions, l’objet pertinent devient le système séquentiel observé sur les croyances C↦u(C)∩π⁻¹(y). Le calcul relève alors de Ctrl et de sa filtration de politiques, non d’une simple partition préalable.</w:t>
      </w:r>
    </w:p>
    <w:p>
      <w:pPr>
        <w:pStyle w:val="Heading2"/>
        <w:keepNext/>
      </w:pPr>
      <w:r>
        <w:rPr>
          <w:b w:val="0"/>
          <w:i w:val="0"/>
        </w:rPr>
        <w:t>10.9 Persistance : certificat inférieur, jamais caractérisation</w:t>
      </w:r>
    </w:p>
    <w:p>
      <w:pPr/>
      <w:r>
        <w:rPr>
          <w:b w:val="0"/>
          <w:i w:val="0"/>
        </w:rPr>
        <w:t>Pour D⊆C, on restreint la filtration par 𝒦_D^(t):={E⊆D:E∈𝒦^(t)}. Si une homologie réduite H̃_j(𝒦_D^(t)) est non nulle, le simplexe plein 2^D n’est pas présent ; par conséquent D∉𝒦^(t), τ_B(D)&gt;t et, lorsqu’une partition admissible existe, κ_t(D)≥2.</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Corollaire 10.13 — borne persistante sur le temps de réparation [D]</w:t>
            </w:r>
          </w:p>
          <w:p>
            <w:pPr>
              <w:spacing w:before="20" w:after="40" w:line="252" w:lineRule="auto"/>
            </w:pPr>
            <w:r>
              <w:t>Une barre encore vivante à l’indice discret t₀ donne τ_B(D)≥t₀+1. La disparition de toutes les classes d’homologie ne prouve pas D∈𝒦^(t) : un complexe contractile peut rester strictement plus petit que le simplexe plein.</w:t>
            </w:r>
          </w:p>
        </w:tc>
      </w:tr>
    </w:tbl>
    <w:p>
      <w:pPr/>
      <w:r>
        <w:rPr>
          <w:b w:val="0"/>
          <w:i w:val="0"/>
        </w:rPr>
        <w:t>Les rôles se répartissent donc exactement. Les obstructions minimales 𝒪_t décident l’appartenance et fournissent un invariant inductif complet ; la persistance compresse certaines obstructions globales et fournit des minorants robustes, mais elle ne caractérise ni la réparabilité ni le temps de naissance.</w:t>
      </w:r>
    </w:p>
    <w:p>
      <w:pPr>
        <w:pStyle w:val="Heading2"/>
        <w:keepNext/>
      </w:pPr>
      <w:r>
        <w:rPr>
          <w:b w:val="0"/>
          <w:i w:val="0"/>
        </w:rPr>
        <w:t>10.10 Les quatre invariants de la Couche B</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Synthèse 10.14 — quatre niveaux irréductibles</w:t>
            </w:r>
          </w:p>
          <w:p>
            <w:pPr>
              <w:spacing w:before="20" w:after="40" w:line="252" w:lineRule="auto"/>
            </w:pPr>
            <w:r>
              <w:t>(1) 𝒦^(∞) : réparabilité qualitative. (2) τ_B : coût uniforme et fonction de naissance. (3) b↦t_min(b) : échange entre information préalable et horizon. (4) profil de compressibilité dynamique : taille minimale d’un régime engendrant la filtration. Aucun de ces objets ne se déduit des trois autres sans hypothèses supplémentaires.</w:t>
            </w:r>
          </w:p>
        </w:tc>
      </w:tr>
    </w:tbl>
    <w:p>
      <w:pPr>
        <w:pStyle w:val="Heading2"/>
        <w:keepNext/>
      </w:pPr>
      <w:r>
        <w:rPr>
          <w:b w:val="0"/>
          <w:i w:val="0"/>
        </w:rPr>
        <w:t>10.11 Synchronisation partielle : portée bibliographique exacte</w:t>
      </w:r>
    </w:p>
    <w:p>
      <w:pPr/>
      <w:r>
        <w:rPr>
          <w:b w:val="0"/>
          <w:i w:val="0"/>
        </w:rPr>
        <w:t>Dans les automates déterministes complets, une borne générale cubique existe pour la synchronisation totale, tandis que la borne quadratique de Černý demeure conjecturale [E, fiche à épingler]. Dans les automates partiels, la synchronisation prudente exige que chaque lettre reste définie sur tout l’ensemble courant ; son existence est PSPACE-complète et des familles explicites possèdent des mots prudents les plus courts de longueur exponentielle [E, fiche à épingler].</w:t>
      </w:r>
    </w:p>
    <w:p>
      <w:pPr/>
      <w:r>
        <w:rPr>
          <w:b w:val="0"/>
          <w:i w:val="0"/>
        </w:rPr>
        <w:t>La formulation de registre est une formulation de pire cas : il existe des instances partielles exponentielles. La PSPACE-complétude ne suffit pas, à elle seule, à prouver l’existence de témoins exponentiels ; ceux-ci doivent être cités séparément par leurs constructions. Aucune « branche polynomiale » n’est inscrite hors du sous-régime à actions totales.</w:t>
      </w:r>
    </w:p>
    <w:p>
      <w:pPr>
        <w:pStyle w:val="Heading2"/>
        <w:keepNext/>
      </w:pPr>
      <w:r>
        <w:rPr>
          <w:b w:val="0"/>
          <w:i w:val="0"/>
        </w:rPr>
        <w:t>10.12 Statut consolidé et problèmes ouverts</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Fermé ou démontré dans le cadre déclaré</w:t>
            </w:r>
          </w:p>
          <w:p>
            <w:pPr>
              <w:spacing w:before="20" w:after="40" w:line="252" w:lineRule="auto"/>
            </w:pPr>
            <w:r>
              <w:t>LEM-B0 ; conservation exacte de la sémantique bornée ; THM-B-FILT ; condition d’horizon zéro ; représentation par portées ; borne facettes–alphabet–horizon ; correction de la frontière de Pareto ; intersection universelle des Nerode ; portée seulement minorante de la persistance.</w:t>
            </w:r>
          </w:p>
        </w:tc>
      </w:tr>
    </w:tbl>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Ouvert et désormais bien posé [O]</w:t>
            </w:r>
          </w:p>
          <w:p>
            <w:pPr>
              <w:spacing w:before="20" w:after="40" w:line="252" w:lineRule="auto"/>
            </w:pPr>
            <w:r>
              <w:t>Borne supérieure serrée de compressibilité ; coût minimal en états auxiliaires ; familles à écart exponentiel ; calcul de κ_t et t_min sur les témoins existants ; filtration du contrôle adaptatif lorsque les acquisitions et actions s’entrelacent.</w:t>
            </w:r>
          </w:p>
        </w:tc>
      </w:tr>
    </w:tbl>
    <w:p>
      <w:pPr>
        <w:pStyle w:val="Heading2"/>
        <w:keepNext/>
      </w:pPr>
      <w:r>
        <w:rPr>
          <w:b w:val="0"/>
          <w:i w:val="0"/>
        </w:rPr>
        <w:t>10.13 Positionnement : UReach et planification conforme</w:t>
      </w:r>
    </w:p>
    <w:p>
      <w:r>
        <w:rPr>
          <w:b w:val="0"/>
          <w:i w:val="0"/>
        </w:rPr>
        <w:t>Dans un régime déterministe sans observation intermédiaire, UReach(C,K_A) demande une même séquence d’actions, applicable à tous les états de C, conduisant chacun dans K_A. Cette sémantique coïncide avec celle d’un plan conforme déterministe pour une croyance initiale. La contribution candidate ne réside donc pas dans l’existence de ce prédicat isolé, mais dans la filtration simultanée de toutes les sous-croyances et de tous les horizons.</w:t>
      </w:r>
    </w:p>
    <w:p>
      <w:pPr>
        <w:pStyle w:val="Heading2"/>
        <w:keepNext/>
      </w:pPr>
      <w:r>
        <w:rPr>
          <w:b w:val="0"/>
          <w:i w:val="0"/>
        </w:rPr>
        <w:t>10.14 Fibre des réalisations d’une filtration</w:t>
      </w:r>
    </w:p>
    <w:p>
      <w:r>
        <w:rPr>
          <w:b w:val="0"/>
          <w:i w:val="0"/>
        </w:rPr>
        <w:t>THM-B-FILT implique qu’aucune propriété simpliciale non triviale ne caractérise, à elle seule, les dynamiques partielles : toute filtration finie admissible peut être produite. Deux régimes radicalement différents peuvent donc posséder exactement les mêmes complexes 𝒦^(t).</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AF0F5"/>
            <w:vAlign w:val="center"/>
          </w:tcPr>
          <w:p>
            <w:pPr>
              <w:spacing w:after="40"/>
            </w:pPr>
            <w:r/>
            <w:r>
              <w:rPr>
                <w:b/>
              </w:rPr>
              <w:t>Définition — Fibre de réalisation [F]</w:t>
            </w:r>
          </w:p>
          <w:p>
            <w:pPr>
              <w:spacing w:before="60" w:after="40"/>
            </w:pPr>
            <w:r>
              <w:t>Real(𝔽)={ℛ : 𝒦_ℛ^(t)=𝔽^(t) pour tout t}/≅. La question n’est plus seulement de savoir si 𝔽 est réalisable, mais de classifier ses réalisations, leurs minima et leurs symétries.</w:t>
            </w:r>
          </w:p>
        </w:tc>
      </w:tr>
    </w:tbl>
    <w:p>
      <w:pPr>
        <w:pStyle w:val="Heading2"/>
        <w:keepNext/>
      </w:pPr>
      <w:r>
        <w:rPr>
          <w:b w:val="0"/>
          <w:i w:val="0"/>
        </w:rPr>
        <w:t>10.15 Profil multicritère de compressibilité dynamique</w:t>
      </w:r>
    </w:p>
    <w:p>
      <w:r>
        <w:rPr>
          <w:b w:val="0"/>
          <w:i w:val="0"/>
        </w:rPr>
        <w:t>Le nombre d’actions ne suffit pas à mesurer une réalisation : une action unique peut cacher une table immense. On distingue m=|𝒰|, n_aux=|X̄∖C|, e=Σ_u|dom(u)|, T l’horizon maximal utile et, relativement à un langage d’encodage 𝔈, une longueur L_𝔈(ℛ).</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7EEF8"/>
            <w:vAlign w:val="center"/>
          </w:tcPr>
          <w:p>
            <w:pPr>
              <w:spacing w:after="40"/>
            </w:pPr>
            <w:r/>
            <w:r>
              <w:rPr>
                <w:b/>
              </w:rPr>
              <w:t>Définition — CompDyn(𝔽) [F/P]</w:t>
            </w:r>
          </w:p>
          <w:p>
            <w:pPr>
              <w:spacing w:before="60" w:after="40"/>
            </w:pPr>
            <w:r>
              <w:t>CompDyn(𝔽)=Min_{≤prod}{(m,n_aux,e,T,L_𝔈(ℛ)) : ℛ∈Real(𝔽)}. La compressibilité dynamique est un profil de Pareto, non un scalaire absolu.</w:t>
            </w:r>
          </w:p>
        </w:tc>
      </w:tr>
    </w:tbl>
    <w:p>
      <w:r>
        <w:rPr>
          <w:b w:val="0"/>
          <w:i w:val="0"/>
        </w:rPr>
        <w:t>La borne N_t≤1+m+⋯+m^t reste valide, mais elle doit être nommée borne de comptage des certificats par mots. Elle contrôle la capacité lexicale de l’alphabet, non la taille des tables, des configurations intermédiaires ou de la description totale.</w:t>
      </w:r>
    </w:p>
    <w:p>
      <w:pPr>
        <w:pStyle w:val="Heading2"/>
        <w:keepNext/>
      </w:pPr>
      <w:r>
        <w:rPr>
          <w:b w:val="0"/>
          <w:i w:val="0"/>
        </w:rPr>
        <w:t>10.16 Programme des résidus de réparation</w:t>
      </w:r>
    </w:p>
    <w:p>
      <w:r>
        <w:rPr>
          <w:b w:val="0"/>
          <w:i w:val="0"/>
        </w:rPr>
        <w:t>Pour deux préfixes p et q, posons provisoirement p≡res q lorsque R(pv)=R(qv) pour toute continuation v. Les classes de cette relation représentent des sous-problèmes futurs identiques. Une théorie de minimisation devrait relier leur nombre au nombre minimal de configurations de contrôle nécessaires, comme un analogue opératoire de Myhill–Nerode.</w:t>
      </w:r>
    </w:p>
    <w:p>
      <w:pPr>
        <w:pStyle w:val="Heading2"/>
        <w:keepNext/>
      </w:pPr>
      <w:r>
        <w:rPr>
          <w:b w:val="0"/>
          <w:i w:val="0"/>
        </w:rPr>
        <w:t>10.17 Nerode sur les familles de cibles</w:t>
      </w:r>
    </w:p>
    <w:p>
      <w:r>
        <w:rPr>
          <w:b w:val="0"/>
          <w:i w:val="0"/>
        </w:rPr>
        <w:t>La famille K↦∼_N^K n’est pas monotone sur l’inclusion des cibles. En revanche, pour une famille de cibles 𝒯, définissons x∼_N^𝒯x′ si L_x(K)=L_x′(K) pour tout K∈𝒯. Alors 𝒯⊆𝒯′ implique ∼_N^𝒯′⊆∼_N^𝒯. Le véritable diagramme est donc indexé par les familles de questions admissibles, non par les cibles isolées.</w:t>
      </w:r>
    </w:p>
    <w:p>
      <w:pPr>
        <w:keepLines/>
        <w:pageBreakBefore/>
        <w:spacing w:before="1720"/>
        <w:jc w:val="center"/>
      </w:pPr>
      <w:r>
        <w:rPr>
          <w:rFonts w:ascii="Liberation Sans" w:hAnsi="Liberation Sans" w:eastAsia="Liberation Sans"/>
          <w:b/>
          <w:i w:val="0"/>
          <w:color w:val="2E5D62"/>
          <w:sz w:val="24"/>
        </w:rPr>
        <w:t>PARTIE IV</w:t>
      </w:r>
    </w:p>
    <w:p>
      <w:pPr>
        <w:keepLines/>
        <w:jc w:val="center"/>
      </w:pPr>
      <w:r>
        <w:rPr>
          <w:rFonts w:ascii="Liberation Sans" w:hAnsi="Liberation Sans" w:eastAsia="Liberation Sans"/>
          <w:b/>
          <w:i w:val="0"/>
          <w:color w:val="243436"/>
          <w:sz w:val="44"/>
        </w:rPr>
        <w:t>PROVENANCE, OUBLI ET HISTOIRES ADMISSIBLES</w:t>
      </w:r>
    </w:p>
    <w:p>
      <w:pPr>
        <w:keepLines/>
        <w:jc w:val="center"/>
      </w:pPr>
      <w:r>
        <w:t>Tour catégorique, traces partiellement commutatives et obstruction de section</w:t>
      </w:r>
    </w:p>
    <w:p>
      <w:pPr>
        <w:keepLines/>
        <w:spacing w:before="520"/>
        <w:jc w:val="center"/>
      </w:pPr>
      <w:r>
        <w:rPr>
          <w:rFonts w:ascii="Liberation Sans" w:hAnsi="Liberation Sans" w:eastAsia="Liberation Sans"/>
          <w:b/>
          <w:i w:val="0"/>
          <w:color w:val="7A4E2D"/>
          <w:sz w:val="20"/>
        </w:rPr>
        <w:t>transformation  →  histoire  →  oubli  →  fibre de relèvements  →  cohérence</w:t>
      </w:r>
    </w:p>
    <w:p>
      <w:r>
        <w:br w:type="page"/>
      </w:r>
    </w:p>
    <w:p>
      <w:pPr>
        <w:pStyle w:val="Heading1"/>
        <w:keepNext/>
      </w:pPr>
      <w:r>
        <w:t>Chapitre 11 — La tour Gen → ExtReg → Obs</w:t>
      </w:r>
    </w:p>
    <w:p>
      <w:pPr>
        <w:pStyle w:val="Heading2"/>
        <w:keepNext/>
      </w:pPr>
      <w:r>
        <w:t>11.1 Deux oublis et deux problèmes</w:t>
      </w:r>
    </w:p>
    <w:p>
      <w:pPr>
        <w:keepNext w:val="0"/>
      </w:pPr>
      <w:r>
        <w:rPr>
          <w:rFonts w:ascii="Liberation Serif" w:hAnsi="Liberation Serif" w:eastAsia="Liberation Serif"/>
          <w:b w:val="0"/>
          <w:i w:val="0"/>
        </w:rPr>
        <w:t>NDA-0.1 remplace la tour Reg→Ext→Ext₀ par deux oubliages typés. Gen et ExtReg ont les mêmes objets ; U_J ne retire que l’histoire des morphismes. U_O retire ensuite des enrichissements objectaux et conduit vers une structure observable encore à préciser complètement.</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top w:val="single" w:sz="4" w:color="D6E3E3"/>
              <w:left w:val="single" w:sz="20" w:color="2E5D62"/>
              <w:bottom w:val="single" w:sz="4" w:color="D6E3E3"/>
              <w:right w:val="single" w:sz="4" w:color="D6E3E3"/>
            </w:tcBorders>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243436"/>
                <w:sz w:val="22"/>
              </w:rPr>
              <w:t>Gen  —U_J→  ExtReg  —U_O→  Obs</w:t>
            </w:r>
          </w:p>
        </w:tc>
      </w:tr>
    </w:tbl>
    <w:p>
      <w:pPr>
        <w:spacing w:after="0"/>
      </w:pPr>
    </w:p>
    <w:p>
      <w:pPr>
        <w:keepNext w:val="0"/>
      </w:pPr>
      <w:r>
        <w:rPr>
          <w:rFonts w:ascii="Liberation Serif" w:hAnsi="Liberation Serif" w:eastAsia="Liberation Serif"/>
          <w:b w:val="0"/>
          <w:i w:val="0"/>
        </w:rPr>
        <w:t>Cette séparation empêche d’attribuer à une non-fidélité morphique un effondrement qui proviendrait en réalité de l’oubli des objets.</w:t>
      </w:r>
    </w:p>
    <w:p>
      <w:pPr>
        <w:pStyle w:val="Heading2"/>
        <w:keepNext/>
      </w:pPr>
      <w:r>
        <w:t>11.2 Objets et morphismes de travail</w:t>
      </w:r>
    </w:p>
    <w:p>
      <w:pPr>
        <w:keepNext w:val="0"/>
      </w:pPr>
      <w:r>
        <w:rPr>
          <w:rFonts w:ascii="Liberation Serif" w:hAnsi="Liberation Serif" w:eastAsia="Liberation Serif"/>
          <w:b w:val="0"/>
          <w:i w:val="0"/>
        </w:rPr>
        <w:t>Dans l’état actuel, un objet commun de Gen et ExtReg est un régime enrichi portant le noyau de possibilité, l’information présente, les archives récupérables, les actions, les ressources et les budgets. Un morphisme extensionnel conserve le triplet (f,F♯,W). Un morphisme généalogique lui ajoute une classe d’histoire [J].</w:t>
      </w:r>
    </w:p>
    <w:p>
      <w:pPr>
        <w:keepLines/>
        <w:spacing w:before="80" w:after="140"/>
        <w:jc w:val="center"/>
      </w:pPr>
      <w:r>
        <w:rPr>
          <w:rFonts w:ascii="Liberation Serif" w:hAnsi="Liberation Serif" w:eastAsia="Liberation Serif"/>
          <w:b w:val="0"/>
          <w:i/>
          <w:color w:val="243436"/>
          <w:sz w:val="22"/>
        </w:rPr>
        <w:t>M_gen = (f,F♯,W,[J]),      U_J(M_gen)=(f,F♯,W)</w:t>
      </w:r>
    </w:p>
    <w:p>
      <w:pPr>
        <w:keepNext w:val="0"/>
      </w:pPr>
      <w:r>
        <w:rPr>
          <w:rFonts w:ascii="Liberation Serif" w:hAnsi="Liberation Serif" w:eastAsia="Liberation Serif"/>
          <w:b w:val="0"/>
          <w:i w:val="0"/>
        </w:rPr>
        <w:t>Loss(M) et Gain(M) sont des données dérivées du morphisme et de ses extrémités ; elles ne sont plus simultanément déclarées comme composantes indépendantes.</w:t>
      </w:r>
    </w:p>
    <w:p>
      <w:pPr>
        <w:pStyle w:val="Heading2"/>
        <w:keepNext/>
      </w:pPr>
      <w:r>
        <w:t>11.3 Le foncteur d’oubli généalogique</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Décision D-2 — rôle de U_J</w:t>
            </w:r>
            <w:r>
              <w:rPr>
                <w:rFonts w:ascii="Liberation Sans" w:hAnsi="Liberation Sans" w:eastAsia="Liberation Sans"/>
                <w:b/>
                <w:i w:val="0"/>
                <w:color w:val="7A4E2D"/>
                <w:sz w:val="19"/>
              </w:rPr>
              <w:t xml:space="preserve"> [R]</w:t>
            </w:r>
            <w:r>
              <w:rPr>
                <w:rFonts w:ascii="Liberation Serif" w:hAnsi="Liberation Serif" w:eastAsia="Liberation Serif"/>
                <w:b w:val="0"/>
                <w:i w:val="0"/>
                <w:sz w:val="19"/>
              </w:rPr>
              <w:br/>
              <w:t>U_J est identique sur les objets et oublie exclusivement la classe d’histoire. R1 porte sur U_J, non sur U_O. La non-fidélité, la multiplicité des histoires et la question d’une section doivent donc être formulées dans cette seule tour.</w:t>
            </w:r>
          </w:p>
        </w:tc>
      </w:tr>
    </w:tbl>
    <w:p>
      <w:pPr>
        <w:spacing w:after="0"/>
      </w:pPr>
    </w:p>
    <w:p>
      <w:pPr>
        <w:keepNext w:val="0"/>
      </w:pPr>
      <w:r>
        <w:rPr>
          <w:rFonts w:ascii="Liberation Serif" w:hAnsi="Liberation Serif" w:eastAsia="Liberation Serif"/>
          <w:b w:val="0"/>
          <w:i w:val="0"/>
        </w:rPr>
        <w:t>La composition exacte de Gen dépend encore de la sémantique des événements et de la fermeture des histoires admissibles. La structure de la tour est ratifiée ; la spécification v0.2-R devra en fournir la construction formelle pure.</w:t>
      </w:r>
    </w:p>
    <w:p>
      <w:pPr>
        <w:pStyle w:val="Heading2"/>
        <w:keepNext/>
      </w:pPr>
      <w:r>
        <w:t>11.4 L’oubli objectal</w:t>
      </w:r>
    </w:p>
    <w:p>
      <w:pPr>
        <w:keepNext w:val="0"/>
      </w:pPr>
      <w:r>
        <w:rPr>
          <w:rFonts w:ascii="Liberation Serif" w:hAnsi="Liberation Serif" w:eastAsia="Liberation Serif"/>
          <w:b w:val="0"/>
          <w:i w:val="0"/>
        </w:rPr>
        <w:t>U_O oublie le supplément matérialisé, les archives, les actions, les coûts et les budgets, en conservant une structure observable de la forme (X,π,S) ou un raffinement à arrêter. Les phénomènes d’effondrement objectal et les questions de CapReg relèvent de ce second foncteur et ne doivent pas être importés dans R1.</w:t>
      </w:r>
    </w:p>
    <w:p>
      <w:pPr>
        <w:pStyle w:val="Heading1"/>
        <w:keepNext/>
      </w:pPr>
      <w:r>
        <w:t>Chapitre 12 — Événements causaux et monoïde de traces</w:t>
      </w:r>
    </w:p>
    <w:p>
      <w:pPr>
        <w:pStyle w:val="Heading2"/>
        <w:keepNext/>
      </w:pPr>
      <w:r>
        <w:t>12.1 Pourquoi la liste littérale est insuffisante</w:t>
      </w:r>
    </w:p>
    <w:p>
      <w:pPr>
        <w:keepNext w:val="0"/>
      </w:pPr>
      <w:r>
        <w:rPr>
          <w:rFonts w:ascii="Liberation Serif" w:hAnsi="Liberation Serif" w:eastAsia="Liberation Serif"/>
          <w:b w:val="0"/>
          <w:i w:val="0"/>
        </w:rPr>
        <w:t>Deux événements indépendants peuvent être consignés dans des ordres chronologiques différents sans représenter des généalogies distinctes. L’égalité littérale des listes sur-distingue alors les histoires. Le support retenu est un monoïde de traces, qui quotient les mots par la commutation des événements indépendants.</w:t>
      </w:r>
    </w:p>
    <w:p>
      <w:pPr>
        <w:pStyle w:val="Heading2"/>
        <w:keepNext/>
      </w:pPr>
      <w:r>
        <w:t>12.2 Signature minimale d’un événement</w:t>
      </w:r>
    </w:p>
    <w:p>
      <w:pPr>
        <w:keepLines/>
        <w:spacing w:before="80" w:after="140"/>
        <w:jc w:val="center"/>
      </w:pPr>
      <w:r>
        <w:rPr>
          <w:rFonts w:ascii="Liberation Serif" w:hAnsi="Liberation Serif" w:eastAsia="Liberation Serif"/>
          <w:b w:val="0"/>
          <w:i/>
          <w:color w:val="243436"/>
          <w:sz w:val="22"/>
        </w:rPr>
        <w:t>e=(id,type,X_lu,X_écrit,R_lu,R_cons,R_prod,Pred)</w:t>
      </w:r>
    </w:p>
    <w:p>
      <w:pPr>
        <w:keepNext w:val="0"/>
      </w:pPr>
      <w:r>
        <w:rPr>
          <w:rFonts w:ascii="Liberation Serif" w:hAnsi="Liberation Serif" w:eastAsia="Liberation Serif"/>
          <w:b w:val="0"/>
          <w:i w:val="0"/>
        </w:rPr>
        <w:t>Cette signature distingue les états et ressources lus, écrits, consommés ou produits, ainsi que les dépendances causales explicites. Elle doit être fermée avant l’exécution de Hist-R1.</w:t>
      </w:r>
    </w:p>
    <w:p>
      <w:pPr>
        <w:pStyle w:val="Heading2"/>
        <w:keepNext/>
      </w:pPr>
      <w:r>
        <w:t>12.3 Relation d’indépendance</w:t>
      </w:r>
    </w:p>
    <w:p>
      <w:pPr>
        <w:keepNext w:val="0"/>
      </w:pPr>
      <w:r>
        <w:rPr>
          <w:rFonts w:ascii="Liberation Serif" w:hAnsi="Liberation Serif" w:eastAsia="Liberation Serif"/>
          <w:b w:val="0"/>
          <w:i w:val="0"/>
        </w:rPr>
        <w:t>La disjonction des supports d’états n’est qu’un critère particulier. Une relation d’indépendance I doit être symétrique et irréflexive, et interdire au minimum les conflits lecture-écriture, les conflits de ressources, les dépendances par prédécesseur et les interférences globales déclarées.</w:t>
      </w:r>
    </w:p>
    <w:p>
      <w:pPr>
        <w:keepLines/>
        <w:spacing w:before="80" w:after="140"/>
        <w:jc w:val="center"/>
      </w:pPr>
      <w:r>
        <w:rPr>
          <w:rFonts w:ascii="Liberation Serif" w:hAnsi="Liberation Serif" w:eastAsia="Liberation Serif"/>
          <w:b w:val="0"/>
          <w:i/>
          <w:color w:val="243436"/>
          <w:sz w:val="22"/>
        </w:rPr>
        <w:t>e₁ I e₂  ⇒  absence de conflit d’état, de ressource et de dépendance causale</w:t>
      </w:r>
    </w:p>
    <w:p>
      <w:pPr>
        <w:keepNext w:val="0"/>
      </w:pPr>
      <w:r>
        <w:rPr>
          <w:rFonts w:ascii="Liberation Serif" w:hAnsi="Liberation Serif" w:eastAsia="Liberation Serif"/>
          <w:b w:val="0"/>
          <w:i w:val="0"/>
        </w:rPr>
        <w:t>La réciproque dépendra du laboratoire et de la sémantique choisie. Aucune définition de I ne devra être construite pour forcer la conclusion de R1.</w:t>
      </w:r>
    </w:p>
    <w:p>
      <w:pPr>
        <w:pStyle w:val="Heading2"/>
        <w:keepNext/>
      </w:pPr>
      <w:r>
        <w:t>12.4 Traces partiellement commutatives</w:t>
      </w:r>
    </w:p>
    <w:p>
      <w:pPr>
        <w:keepLines/>
        <w:spacing w:before="80" w:after="140"/>
        <w:jc w:val="center"/>
      </w:pPr>
      <w:r>
        <w:rPr>
          <w:rFonts w:ascii="Liberation Serif" w:hAnsi="Liberation Serif" w:eastAsia="Liberation Serif"/>
          <w:b w:val="0"/>
          <w:i/>
          <w:color w:val="243436"/>
          <w:sz w:val="22"/>
        </w:rPr>
        <w:t>T(Σ,I)=Σ*/≡_I,     ue₁e₂v ≡_I ue₂e₁v lorsque e₁ I e₂</w:t>
      </w:r>
    </w:p>
    <w:p>
      <w:pPr>
        <w:keepNext w:val="0"/>
      </w:pPr>
      <w:r>
        <w:rPr>
          <w:rFonts w:ascii="Liberation Serif" w:hAnsi="Liberation Serif" w:eastAsia="Liberation Serif"/>
          <w:b w:val="0"/>
          <w:i w:val="0"/>
        </w:rPr>
        <w:t>Le produit des traces est induit par la concaténation. Il est associatif et possède la trace vide comme unité. Cette représentation conserve une composition simple tout en codant une causalité partielle. La correspondance avec les graphes de dépendance sera citée comme résultat standard jusqu’à fermeture de la fiche bibliographique.</w:t>
      </w:r>
    </w:p>
    <w:p>
      <w:pPr>
        <w:pStyle w:val="Heading2"/>
        <w:keepNext/>
      </w:pPr>
      <w:r>
        <w:t>12.5 Validité des histoires</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A5-sound — correction</w:t>
            </w:r>
            <w:r>
              <w:rPr>
                <w:rFonts w:ascii="Liberation Sans" w:hAnsi="Liberation Sans" w:eastAsia="Liberation Sans"/>
                <w:b/>
                <w:i w:val="0"/>
                <w:color w:val="7A4E2D"/>
                <w:sz w:val="19"/>
              </w:rPr>
              <w:t xml:space="preserve"> [P à formaliser]</w:t>
            </w:r>
            <w:r>
              <w:rPr>
                <w:rFonts w:ascii="Liberation Serif" w:hAnsi="Liberation Serif" w:eastAsia="Liberation Serif"/>
                <w:b w:val="0"/>
                <w:i w:val="0"/>
                <w:sz w:val="19"/>
              </w:rPr>
              <w:br/>
              <w:t>Tout événement enregistré correspond à une transformation effectivement réalisée et correctement typée.</w:t>
            </w:r>
          </w:p>
        </w:tc>
      </w:tr>
    </w:tbl>
    <w:p>
      <w:pPr>
        <w:spacing w:after="0"/>
      </w:pP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A5-complete — exhaustivité locale</w:t>
            </w:r>
            <w:r>
              <w:rPr>
                <w:rFonts w:ascii="Liberation Sans" w:hAnsi="Liberation Sans" w:eastAsia="Liberation Sans"/>
                <w:b/>
                <w:i w:val="0"/>
                <w:color w:val="7A4E2D"/>
                <w:sz w:val="19"/>
              </w:rPr>
              <w:t xml:space="preserve"> [P à formaliser]</w:t>
            </w:r>
            <w:r>
              <w:rPr>
                <w:rFonts w:ascii="Liberation Serif" w:hAnsi="Liberation Serif" w:eastAsia="Liberation Serif"/>
                <w:b w:val="0"/>
                <w:i w:val="0"/>
                <w:sz w:val="19"/>
              </w:rPr>
              <w:br/>
              <w:t>Tout événement déclaré constitutif de la transformation possède une occurrence dans l’histoire.</w:t>
            </w:r>
          </w:p>
        </w:tc>
      </w:tr>
    </w:tbl>
    <w:p>
      <w:pPr>
        <w:spacing w:after="0"/>
      </w:pP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A5-min — minimalité causale</w:t>
            </w:r>
            <w:r>
              <w:rPr>
                <w:rFonts w:ascii="Liberation Sans" w:hAnsi="Liberation Sans" w:eastAsia="Liberation Sans"/>
                <w:b/>
                <w:i w:val="0"/>
                <w:color w:val="7A4E2D"/>
                <w:sz w:val="19"/>
              </w:rPr>
              <w:t xml:space="preserve"> [P à formaliser]</w:t>
            </w:r>
            <w:r>
              <w:rPr>
                <w:rFonts w:ascii="Liberation Serif" w:hAnsi="Liberation Serif" w:eastAsia="Liberation Serif"/>
                <w:b w:val="0"/>
                <w:i w:val="0"/>
                <w:sz w:val="19"/>
              </w:rPr>
              <w:br/>
              <w:t>Aucun événement causalement essentiel ne peut être retiré tout en conservant une histoire admissible et exhaustive.</w:t>
            </w:r>
          </w:p>
        </w:tc>
      </w:tr>
    </w:tbl>
    <w:p>
      <w:pPr>
        <w:spacing w:after="0"/>
      </w:pPr>
    </w:p>
    <w:p>
      <w:pPr>
        <w:keepNext w:val="0"/>
      </w:pPr>
      <w:r>
        <w:rPr>
          <w:rFonts w:ascii="Liberation Serif" w:hAnsi="Liberation Serif" w:eastAsia="Liberation Serif"/>
          <w:b w:val="0"/>
          <w:i w:val="0"/>
        </w:rPr>
        <w:t>A5-normal est retiré. Un mot canonique déterminé par la seule flèche extensionnelle effacerait la pluralité des histoires ; un mot défini par la factorisation fabriquerait l’obstruction recherchée. Le triptyque ci-dessus autorise plusieurs histoires valides au-dessus d’un même effet.</w:t>
      </w:r>
    </w:p>
    <w:p>
      <w:pPr>
        <w:pStyle w:val="Heading1"/>
        <w:keepNext/>
      </w:pPr>
      <w:r>
        <w:t>Chapitre 13 — Fibres d’histoires et obstruction de section</w:t>
      </w:r>
    </w:p>
    <w:p>
      <w:pPr>
        <w:pStyle w:val="Heading2"/>
        <w:keepNext/>
      </w:pPr>
      <w:r>
        <w:t>13.1 Fibre d’histoires</w:t>
      </w:r>
    </w:p>
    <w:p>
      <w:pPr>
        <w:keepLines/>
        <w:spacing w:before="80" w:after="140"/>
        <w:jc w:val="center"/>
      </w:pPr>
      <w:r>
        <w:rPr>
          <w:rFonts w:ascii="Liberation Serif" w:hAnsi="Liberation Serif" w:eastAsia="Liberation Serif"/>
          <w:b w:val="0"/>
          <w:i/>
          <w:color w:val="243436"/>
          <w:sz w:val="22"/>
        </w:rPr>
        <w:t>Hist(f)={t∈T(Σ,I) : (f,t) est un morphisme généalogique admissible}</w:t>
      </w:r>
    </w:p>
    <w:p>
      <w:pPr>
        <w:keepNext w:val="0"/>
      </w:pPr>
      <w:r>
        <w:rPr>
          <w:rFonts w:ascii="Liberation Serif" w:hAnsi="Liberation Serif" w:eastAsia="Liberation Serif"/>
          <w:b w:val="0"/>
          <w:i w:val="0"/>
        </w:rPr>
        <w:t>La composition doit fournir, pour deux flèches composables f et g, une opération Hist(f)×Hist(g)→Hist(g∘f). Une section de U_J est alors un choix d’histoire dans chaque fibre, compatible avec l’identité et la composition.</w:t>
      </w:r>
    </w:p>
    <w:p>
      <w:pPr>
        <w:keepLines/>
        <w:spacing w:before="80" w:after="140"/>
        <w:jc w:val="center"/>
      </w:pPr>
      <w:r>
        <w:rPr>
          <w:rFonts w:ascii="Liberation Serif" w:hAnsi="Liberation Serif" w:eastAsia="Liberation Serif"/>
          <w:b w:val="0"/>
          <w:i/>
          <w:color w:val="243436"/>
          <w:sz w:val="22"/>
        </w:rPr>
        <w:t>s_id=1_T,      s_{g∘f}=s_f ⋆ s_g</w:t>
      </w:r>
    </w:p>
    <w:p>
      <w:pPr>
        <w:pStyle w:val="Heading2"/>
        <w:keepNext/>
      </w:pPr>
      <w:r>
        <w:t>13.2 Multiplicité et hypothèse d’unicité élémentaire</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spacing w:after="40" w:line="252" w:lineRule="auto"/>
            </w:pPr>
            <w:r>
              <w:rPr>
                <w:b/>
              </w:rPr>
              <w:t>R1-2 — Multiplicité généalogique [D relatif au cadre]</w:t>
            </w:r>
          </w:p>
          <w:p>
            <w:pPr>
              <w:spacing w:after="40" w:line="252" w:lineRule="auto"/>
            </w:pPr>
            <w:r>
              <w:t>Sur le fragment fini R1, une même flèche extensionnelle possède au moins deux histoires admissibles distinctes. Cette non-fidélité reste compatible avec plusieurs histoires au-dessus du composé et ne suffit pas, isolément, à exclure une section.</w:t>
            </w:r>
          </w:p>
        </w:tc>
      </w:tr>
    </w:tbl>
    <w:p>
      <w:pPr>
        <w:spacing w:after="0"/>
      </w:pPr>
    </w:p>
    <w:p>
      <w:pPr>
        <w:keepNext w:val="0"/>
      </w:pPr>
      <w:r>
        <w:t>A5-sound, A5-complete et A5-min ne suffisent pas à eux seuls à rendre une histoire élémentaire unique. Ils imposent validité, représentation des événements constitutifs et irréductibilité par suppression ; deux explications distinctes peuvent néanmoins être toutes deux valides, complètes et minimales. L’unicité de Hist(m_i) doit donc être démontrée par la sémantique concrète des événements ou ajoutée comme hypothèse explicite du témoin R1.</w:t>
      </w:r>
    </w:p>
    <w:p>
      <w:pPr>
        <w:pStyle w:val="Heading2"/>
        <w:keepNext/>
      </w:pPr>
      <w:r>
        <w:t>13.3 THM-R1-3 conditionnel — obstruction locale au choix multiplicatif</w:t>
      </w:r>
    </w:p>
    <w:p>
      <w:pPr>
        <w:keepNext w:val="0"/>
      </w:pPr>
      <w:r>
        <w:t>Supposons que R1 soit une sous-catégorie authentique, que ses quatre flèches élémentaires aient des histoires uniques e₁,e₂,e₁′,e₂′, et que e₁⋆e₂≠e₁′⋆e₂′ dans T(Σ,I). Une section est alors forcée sur les élémentaires ; pour le composé commun g, la multiplicativité imposerait simultanément s_g=e₁⋆e₂ et s_g=e₁′⋆e₂′, contradiction.</w:t>
      </w:r>
    </w:p>
    <w:p>
      <w:pPr>
        <w:keepLines/>
        <w:spacing w:before="80" w:after="140"/>
        <w:jc w:val="center"/>
      </w:pPr>
      <w:r>
        <w:t>THM-R1-3 conditionnel : sous les trois hypothèses précédentes, aucune section multiplicative de U_J n’existe sur R1 ; toute section globale serait impossible par restriction.</w:t>
      </w:r>
    </w:p>
    <w:p>
      <w:pPr>
        <w:keepNext w:val="0"/>
      </w:pPr>
      <w:r>
        <w:t>La distinctivité des deux traces est exactement la condition pour que ce carré constitue un témoin local d’absence de section. Son échec signifie seulement que R1 n’obstrue pas la section ; il ne démontre pas l’existence d’une section globale. Rendre les histoires élémentaires multiples ne requiert pas nécessairement des événements surnuméraires : plusieurs histoires peuvent être irréductibles et également minimales.</w:t>
      </w:r>
    </w:p>
    <w:p>
      <w:pPr>
        <w:pStyle w:val="Heading2"/>
        <w:keepNext/>
      </w:pPr>
      <w:r>
        <w:t>13.4 Vérification finie et charnière lexicale</w:t>
      </w:r>
    </w:p>
    <w:p>
      <w:pPr>
        <w:ind w:left="312" w:hanging="312"/>
      </w:pPr>
      <w:r>
        <w:t>1. Vérifier que le fragment R1 est fermé par identités et compositions, donc constitue une sous-catégorie authentique et non un simple sous-graphe.</w:t>
      </w:r>
    </w:p>
    <w:p>
      <w:pPr>
        <w:ind w:left="312" w:hanging="312"/>
      </w:pPr>
      <w:r>
        <w:t>2. Définir la sémantique des événements élémentaires puis démontrer, indépendamment de la seule minimalité, l’unicité éventuelle des quatre fibres Hist(m_i).</w:t>
      </w:r>
    </w:p>
    <w:p>
      <w:pPr>
        <w:ind w:left="312" w:hanging="312"/>
      </w:pPr>
      <w:r>
        <w:t>3. Vérifier lexicalement e₁⋆e₂≠e₁′⋆e₂′ modulo la seule commutation induite par I.</w:t>
      </w:r>
    </w:p>
    <w:p>
      <w:pPr>
        <w:ind w:left="312" w:hanging="312"/>
      </w:pPr>
      <w:r>
        <w:t>4. Produire l’artefact fini correspondant ; aucune énumération exhaustive des fibres composées n’est requise pour la preuve.</w:t>
      </w:r>
    </w:p>
    <w:p>
      <w:pPr>
        <w:ind w:left="312" w:hanging="312"/>
      </w:pPr>
      <w:r>
        <w:t>La charnière est double : sémantique pour l’unicité des fibres élémentaires, lexicale pour l’inégalité des deux traces dans T(Σ,I). Enrichir Σ peut modifier les deux niveaux ; aucune conclusion ne doit précéder leur gel indépendant.</w:t>
      </w:r>
    </w:p>
    <w:tbl>
      <w:tblPr>
        <w:tblW w:type="auto" w:w="0"/>
        <w:jc w:val="center"/>
        <w:tblLayout w:type="autofit"/>
        <w:tblLook w:firstColumn="1" w:firstRow="1" w:lastColumn="0" w:lastRow="0" w:noHBand="0" w:noVBand="1" w:val="04A0"/>
      </w:tblPr>
      <w:tblGrid>
        <w:gridCol w:w="9821"/>
      </w:tblGrid>
      <w:tr>
        <w:trPr>
          <w:cantSplit/>
        </w:trPr>
        <w:tc>
          <w:tcPr>
            <w:tcW w:type="dxa" w:w="9821"/>
            <w:shd w:fill="F5EEE8"/>
            <w:tcBorders>
              <w:left w:val="single" w:sz="22" w:color="7A4E2D"/>
            </w:tcBorders>
            <w:tcMar>
              <w:top w:w="120" w:type="dxa"/>
              <w:start w:w="150" w:type="dxa"/>
              <w:bottom w:w="120" w:type="dxa"/>
              <w:end w:w="150" w:type="dxa"/>
              <w:left w:w="100" w:type="dxa"/>
              <w:right w:w="100" w:type="dxa"/>
            </w:tcMar>
            <w:vAlign w:val="center"/>
          </w:tcPr>
          <w:p>
            <w:pPr>
              <w:spacing w:after="40"/>
            </w:pPr>
            <w:r/>
            <w:r>
              <w:rPr>
                <w:b/>
              </w:rPr>
              <w:t>THM-R1-3 — obstruction conditionnelle au choix multiplicatif [D sous hypothèses]</w:t>
            </w:r>
          </w:p>
          <w:p>
            <w:pPr>
              <w:spacing w:before="60" w:after="40"/>
            </w:pPr>
            <w:r>
              <w:t>Si R1 est une sous-catégorie, si ses quatre flèches élémentaires ont des histoires uniques e₁,e₂,e₁′,e₂′ démontrées par la sémantique déclarée, et si e₁⋆e₂≠e₁′⋆e₂′ dans T(Σ,I), aucune section de U_J n’existe sur R1. Cette inégalité fait de R1 un témoin local ; son échec ne prouve pas l’existence d’une section globale.</w:t>
            </w:r>
          </w:p>
        </w:tc>
      </w:tr>
    </w:tbl>
    <w:p>
      <w:pPr>
        <w:spacing w:after="0"/>
      </w:pPr>
    </w:p>
    <w:p>
      <w:r>
        <w:br w:type="page"/>
      </w:r>
    </w:p>
    <w:p>
      <w:pPr>
        <w:pStyle w:val="Heading2"/>
        <w:keepNext/>
      </w:pPr>
      <w:r>
        <w:rPr>
          <w:b w:val="0"/>
          <w:i w:val="0"/>
        </w:rPr>
        <w:t>13.5 Piste torsorielle retirée</w:t>
      </w:r>
    </w:p>
    <w:p>
      <w:pPr/>
      <w:r>
        <w:rPr>
          <w:b w:val="0"/>
          <w:i w:val="0"/>
        </w:rPr>
        <w:t>Il faudrait vérifier un même groupe agissant librement et transitivement sur chaque fibre ; cette structure n’est ni établie ni nécessaire à la forme conditionnelle de R1-3.</w:t>
      </w:r>
    </w:p>
    <w:p>
      <w:pPr/>
      <w:r>
        <w:rPr>
          <w:b w:val="0"/>
          <w:i w:val="0"/>
        </w:rPr>
        <w:t>Ce constat ferme la piste torsorielle ; il n’intervient pas dans le théorème conditionnel de R1-3.</w:t>
      </w:r>
    </w:p>
    <w:p>
      <w:pPr>
        <w:pStyle w:val="Heading2"/>
        <w:keepNext/>
      </w:pPr>
      <w:r>
        <w:rPr>
          <w:b w:val="0"/>
          <w:i w:val="0"/>
        </w:rPr>
        <w:t>13.6 Défaut de degré 2 et prudence cohomologique</w:t>
      </w:r>
    </w:p>
    <w:p>
      <w:pPr/>
      <w:r>
        <w:rPr>
          <w:b w:val="0"/>
          <w:i w:val="0"/>
        </w:rPr>
        <w:t>Le défaut de composition est indexé par les paires de flèches composables : il vit naturellement sur les 2-simplexes du nerf et doit être traité comme une donnée de degré 2, éventuellement tordue et non abélienne. Le vocabulaire exact dépendra du modèle choisi — extension de catégories, fibration de groupoïdes, coefficients croisés ou section d’une extension.</w:t>
      </w:r>
    </w:p>
    <w:p>
      <w:pPr/>
      <w:r>
        <w:rPr>
          <w:b w:val="0"/>
          <w:i w:val="0"/>
        </w:rPr>
        <w:t>La structure torsorielle n’implique pas une largeur bornée ; les comportements affines constituent au contraire une obstruction classique aux méthodes de consistance locale [E, fiche bibliographique à épingler]. Des vérifications sur des 2-cellules ne sont complètes que si un théorème global de présentation ou de cohérence le garantit.</w:t>
      </w:r>
    </w:p>
    <w:tbl>
      <w:tblPr>
        <w:tblW w:type="auto" w:w="0"/>
        <w:jc w:val="center"/>
        <w:tblLayout w:type="fixed"/>
        <w:tblLook w:firstColumn="1" w:firstRow="1" w:lastColumn="0" w:lastRow="0" w:noHBand="0" w:noVBand="1" w:val="04A0"/>
      </w:tblPr>
      <w:tblGrid>
        <w:gridCol w:w="9821"/>
      </w:tblGrid>
      <w:tr>
        <w:trPr>
          <w:cantSplit/>
        </w:trPr>
        <w:tc>
          <w:tcPr>
            <w:tcW w:type="dxa" w:w="9000"/>
            <w:shd w:fill="EAF1F1"/>
            <w:tcMar>
              <w:top w:w="120" w:type="dxa"/>
              <w:start w:w="150" w:type="dxa"/>
              <w:bottom w:w="120" w:type="dxa"/>
              <w:end w:w="150" w:type="dxa"/>
              <w:left w:w="100" w:type="dxa"/>
              <w:right w:w="100" w:type="dxa"/>
            </w:tcMar>
            <w:vAlign w:val="center"/>
          </w:tcPr>
          <w:p>
            <w:pPr>
              <w:spacing w:after="40" w:line="252" w:lineRule="auto"/>
            </w:pPr>
            <w:r>
              <w:rPr>
                <w:rFonts w:ascii="Liberation Sans" w:hAnsi="Liberation Sans"/>
                <w:b/>
              </w:rPr>
              <w:t>Énoncé cohomologique conditionnel admissible [P]</w:t>
            </w:r>
          </w:p>
          <w:p>
            <w:pPr>
              <w:spacing w:before="20" w:after="40" w:line="252" w:lineRule="auto"/>
            </w:pPr>
            <w:r>
              <w:t>Si les fibres forment un système cohérent de torsors sous un groupe fixe, si la composition est équivariante et si une présentation par 2-cellules engendre toutes les relations pertinentes, alors le défaut de section peut être traduit en une classe cohomologique. Les vérifications locales deviennent complètes seulement sous un théorème global de cohérence déclaré.</w:t>
            </w:r>
          </w:p>
        </w:tc>
      </w:tr>
    </w:tbl>
    <w:p>
      <w:pPr>
        <w:keepLines/>
        <w:pageBreakBefore/>
        <w:spacing w:before="1720"/>
        <w:jc w:val="center"/>
      </w:pPr>
      <w:r>
        <w:rPr>
          <w:rFonts w:ascii="Liberation Sans" w:hAnsi="Liberation Sans" w:eastAsia="Liberation Sans"/>
          <w:b/>
          <w:i w:val="0"/>
          <w:color w:val="2E5D62"/>
          <w:sz w:val="24"/>
        </w:rPr>
        <w:t>PARTIE V</w:t>
      </w:r>
    </w:p>
    <w:p>
      <w:pPr>
        <w:keepLines/>
        <w:jc w:val="center"/>
      </w:pPr>
      <w:r>
        <w:rPr>
          <w:rFonts w:ascii="Liberation Sans" w:hAnsi="Liberation Sans" w:eastAsia="Liberation Sans"/>
          <w:b/>
          <w:i w:val="0"/>
          <w:color w:val="243436"/>
          <w:sz w:val="44"/>
        </w:rPr>
        <w:t>LABORATOIRES, REGISTRE ET PROGRAMME CUMULATIF</w:t>
      </w:r>
    </w:p>
    <w:p>
      <w:pPr>
        <w:keepLines/>
        <w:jc w:val="center"/>
      </w:pPr>
      <w:r>
        <w:rPr>
          <w:rFonts w:ascii="Liberation Serif" w:hAnsi="Liberation Serif" w:eastAsia="Liberation Serif"/>
          <w:b w:val="0"/>
          <w:i w:val="0"/>
          <w:color w:val="6B6F72"/>
          <w:sz w:val="23"/>
        </w:rPr>
        <w:t>Témoins finis, droits de transport et trajectoire de publication</w:t>
      </w:r>
    </w:p>
    <w:p>
      <w:pPr>
        <w:keepLines/>
        <w:spacing w:before="520"/>
        <w:jc w:val="center"/>
      </w:pPr>
      <w:r>
        <w:rPr>
          <w:rFonts w:ascii="Liberation Sans" w:hAnsi="Liberation Sans" w:eastAsia="Liberation Sans"/>
          <w:b/>
          <w:i w:val="0"/>
          <w:color w:val="7A4E2D"/>
          <w:sz w:val="20"/>
        </w:rPr>
        <w:t>preuve humaine  →  artefact  →  statut  →  publication  →  thèse</w:t>
      </w:r>
    </w:p>
    <w:p>
      <w:r>
        <w:br w:type="page"/>
      </w:r>
    </w:p>
    <w:p>
      <w:pPr>
        <w:pStyle w:val="Heading1"/>
        <w:keepNext/>
      </w:pPr>
      <w:r>
        <w:t>Chapitre 14 — Registre des témoins finis</w:t>
      </w:r>
    </w:p>
    <w:p>
      <w:pPr>
        <w:keepNext w:val="0"/>
      </w:pPr>
      <w:r>
        <w:rPr>
          <w:rFonts w:ascii="Liberation Serif" w:hAnsi="Liberation Serif" w:eastAsia="Liberation Serif"/>
          <w:b w:val="0"/>
          <w:i w:val="0"/>
        </w:rPr>
        <w:t>Les témoins finis ne remplacent pas les théorèmes généraux. Ils servent à séparer des notions, tester des formulations, révéler des hypothèses cachées et fournir des artefacts reproductibles.</w:t>
      </w:r>
    </w:p>
    <w:tbl>
      <w:tblPr>
        <w:tblW w:type="auto" w:w="0"/>
        <w:jc w:val="center"/>
        <w:tblLayout w:type="fixed"/>
        <w:tblLook w:firstColumn="1" w:firstRow="1" w:lastColumn="0" w:lastRow="0" w:noHBand="0" w:noVBand="1" w:val="04A0"/>
      </w:tblPr>
      <w:tblGrid>
        <w:gridCol w:w="2455"/>
        <w:gridCol w:w="2455"/>
        <w:gridCol w:w="2455"/>
        <w:gridCol w:w="2455"/>
      </w:tblGrid>
      <w:tr>
        <w:trPr>
          <w:tblHeader w:val="true"/>
          <w:cantSplit/>
          <w:tblHeader w:val="true"/>
        </w:trPr>
        <w:tc>
          <w:tcPr>
            <w:tcW w:type="dxa" w:w="864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Témoin</w:t>
            </w:r>
          </w:p>
        </w:tc>
        <w:tc>
          <w:tcPr>
            <w:tcW w:type="dxa" w:w="864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Taille</w:t>
            </w:r>
          </w:p>
        </w:tc>
        <w:tc>
          <w:tcPr>
            <w:tcW w:type="dxa" w:w="288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Fonction</w:t>
            </w:r>
          </w:p>
        </w:tc>
        <w:tc>
          <w:tcPr>
            <w:tcW w:type="dxa" w:w="108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Statut</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B2</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4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Deux optima ; spectre singleton ; absence de marge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[D]/[D_L] à ratifier</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W4</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4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Maximaux non saturés ; dominance stricte de traces</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[D]+[M]</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X6</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6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Optima de même coût à traces incomparables</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[D]+[M]</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E4</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4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Non-canonicité équivariante ; action transitive sans point fixe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[D]+[M]</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Y33</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33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D3a vrai et D2 faux ; marge locale insuffisante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[D]+[M]</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R1</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fragment fini</w:t>
            </w:r>
          </w:p>
        </w:tc>
        <w:tc>
          <w:tcPr>
            <w:tcW w:type="dxa" w:w="2880000"/>
            <w:tcMar>
              <w:top w:w="120" w:type="dxa"/>
              <w:start w:w="150" w:type="dxa"/>
              <w:bottom w:w="120" w:type="dxa"/>
              <w:end w:w="150" w:type="dxa"/>
              <w:left w:w="100" w:type="dxa"/>
              <w:right w:w="100" w:type="dxa"/>
            </w:tcMar>
            <w:vAlign w:val="center"/>
          </w:tcPr>
          <w:p>
            <w:pPr>
              <w:spacing w:after="40" w:line="252" w:lineRule="auto"/>
            </w:pPr>
            <w:r>
              <w:t>Pluralité d’histoires et obstruction de section par rigidité élémentaire</w:t>
            </w:r>
          </w:p>
        </w:tc>
        <w:tc>
          <w:tcPr>
            <w:tcW w:type="dxa" w:w="1080000"/>
            <w:tcMar>
              <w:top w:w="120" w:type="dxa"/>
              <w:start w:w="150" w:type="dxa"/>
              <w:bottom w:w="120" w:type="dxa"/>
              <w:end w:w="150" w:type="dxa"/>
              <w:left w:w="100" w:type="dxa"/>
              <w:right w:w="100" w:type="dxa"/>
            </w:tcMar>
            <w:vAlign w:val="center"/>
          </w:tcPr>
          <w:p>
            <w:pPr>
              <w:spacing w:after="40" w:line="252" w:lineRule="auto"/>
            </w:pPr>
            <w:r>
              <w:t>[D relatif Σ,I]/[M à produire]</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R2</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modèles finis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Information, budget et Reach depuis un état</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[M partiel]</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R2-bis P</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3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¬Rec avec UReach par reset sûr</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[D]+[M]</w:t>
            </w:r>
          </w:p>
        </w:tc>
      </w:tr>
      <w:tr>
        <w:trPr>
          <w:cantSplit/>
        </w:trPr>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R2-bis N</w:t>
            </w:r>
          </w:p>
        </w:tc>
        <w:tc>
          <w:tcPr>
            <w:tcW w:type="dxa" w:w="864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4 états</w:t>
            </w:r>
          </w:p>
        </w:tc>
        <w:tc>
          <w:tcPr>
            <w:tcW w:type="dxa" w:w="288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Reach point par point sans UReach</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[D]+[M]</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B-FILT</w:t>
            </w:r>
          </w:p>
        </w:tc>
        <w:tc>
          <w:tcPr>
            <w:tcW w:type="dxa" w:w="2455"/>
            <w:vAlign w:val="center"/>
            <w:tcMar>
              <w:top w:w="120" w:type="dxa"/>
              <w:left w:w="100" w:type="dxa"/>
              <w:bottom w:w="120" w:type="dxa"/>
              <w:right w:w="100" w:type="dxa"/>
              <w:start w:w="150" w:type="dxa"/>
              <w:end w:w="150" w:type="dxa"/>
            </w:tcMar>
          </w:tcPr>
          <w:p>
            <w:pPr>
              <w:spacing w:after="40" w:line="252" w:lineRule="auto"/>
            </w:pPr>
            <w:r>
              <w:t>filtration finie</w:t>
            </w:r>
          </w:p>
        </w:tc>
        <w:tc>
          <w:tcPr>
            <w:tcW w:type="dxa" w:w="2455"/>
            <w:vAlign w:val="center"/>
            <w:tcMar>
              <w:top w:w="120" w:type="dxa"/>
              <w:left w:w="100" w:type="dxa"/>
              <w:bottom w:w="120" w:type="dxa"/>
              <w:right w:w="100" w:type="dxa"/>
              <w:start w:w="150" w:type="dxa"/>
              <w:end w:w="150" w:type="dxa"/>
            </w:tcMar>
          </w:tcPr>
          <w:p>
            <w:pPr>
              <w:spacing w:after="40" w:line="252" w:lineRule="auto"/>
            </w:pPr>
            <w:r>
              <w:t>Réalisation générale ; borne facettes–alphabet–horizon</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r>
    </w:tbl>
    <w:p>
      <w:pPr>
        <w:spacing w:after="0"/>
      </w:pPr>
    </w:p>
    <w:p>
      <w:pPr>
        <w:pStyle w:val="Heading2"/>
        <w:keepNext/>
      </w:pPr>
      <w:r>
        <w:t>14.1 E4 et la non-canonicité équivariante</w:t>
      </w:r>
    </w:p>
    <w:p>
      <w:pPr>
        <w:keepNext w:val="0"/>
      </w:pPr>
      <w:r>
        <w:rPr>
          <w:rFonts w:ascii="Liberation Serif" w:hAnsi="Liberation Serif" w:eastAsia="Liberation Serif"/>
          <w:b w:val="0"/>
          <w:i w:val="0"/>
        </w:rPr>
        <w:t>E4 montre qu’un optimum peut exister sans sélection invariante sous le groupe déclaré. L’action sur les deux optima est transitive et ne possède aucun point fixe global ; elle n’est pas libre, les stabilisateurs ayant ordre 4. La formulation corrigée est conservée.</w:t>
      </w:r>
    </w:p>
    <w:p>
      <w:pPr>
        <w:pStyle w:val="Heading2"/>
        <w:keepNext/>
      </w:pPr>
      <w:r>
        <w:t>14.2 Y33 et la différence D2/D3a</w:t>
      </w:r>
    </w:p>
    <w:p>
      <w:pPr>
        <w:keepNext w:val="0"/>
      </w:pPr>
      <w:r>
        <w:rPr>
          <w:rFonts w:ascii="Liberation Serif" w:hAnsi="Liberation Serif" w:eastAsia="Liberation Serif"/>
          <w:b w:val="0"/>
          <w:i w:val="0"/>
        </w:rPr>
        <w:t>Y33 interdit de confondre conservation du comportement actuel et existence abstraite d’un code conjoint de même coût. Il accompagne la formule locale D3b et la distinction entre demande future et marge du code présent.</w:t>
      </w:r>
    </w:p>
    <w:p>
      <w:pPr>
        <w:pStyle w:val="Heading2"/>
        <w:keepNext/>
      </w:pPr>
      <w:r>
        <w:t>14.3 R2-bis et la restauration sous incertitude</w:t>
      </w:r>
    </w:p>
    <w:p>
      <w:pPr>
        <w:keepNext w:val="0"/>
      </w:pPr>
      <w:r>
        <w:rPr>
          <w:rFonts w:ascii="Liberation Serif" w:hAnsi="Liberation Serif" w:eastAsia="Liberation Serif"/>
          <w:b w:val="0"/>
          <w:i w:val="0"/>
        </w:rPr>
        <w:t>Les deux témoins de R2-bis fournissent la première charnière démontrée entre reconstruction et action : le reset sûr établit une restauration uniforme sans reconstruction de la cible ; le témoin croisé montre que la somme des réparations individuelles ne produit pas une réparation commune.</w:t>
      </w:r>
    </w:p>
    <w:p>
      <w:pPr>
        <w:pStyle w:val="Heading1"/>
        <w:keepNext/>
      </w:pPr>
      <w:r>
        <w:t>Chapitre 15 — Laboratoires extérieurs et droits de transport</w:t>
      </w:r>
    </w:p>
    <w:p>
      <w:pPr>
        <w:pStyle w:val="Heading2"/>
        <w:keepNext/>
      </w:pPr>
      <w:r>
        <w:t>15.1 M30</w:t>
      </w:r>
    </w:p>
    <w:p>
      <w:pPr>
        <w:keepNext w:val="0"/>
      </w:pPr>
      <w:r>
        <w:rPr>
          <w:rFonts w:ascii="Liberation Serif" w:hAnsi="Liberation Serif" w:eastAsia="Liberation Serif"/>
          <w:b w:val="0"/>
          <w:i w:val="0"/>
        </w:rPr>
        <w:t>Le laboratoire M30 fournit des objets finis calculables : fibres résiduelles, caractères, covariances, poids spectraux et journaux numériques. Il instancie des questions de descente et de perte d’information sans valider rétroactivement la théorie générale.</w:t>
      </w:r>
    </w:p>
    <w:p>
      <w:pPr>
        <w:pStyle w:val="Heading2"/>
        <w:keepNext/>
      </w:pPr>
      <w:r>
        <w:t>15.2 Partitions dynamiques</w:t>
      </w:r>
    </w:p>
    <w:p>
      <w:pPr>
        <w:keepNext w:val="0"/>
      </w:pPr>
      <w:r>
        <w:rPr>
          <w:rFonts w:ascii="Liberation Serif" w:hAnsi="Liberation Serif" w:eastAsia="Liberation Serif"/>
          <w:b w:val="0"/>
          <w:i w:val="0"/>
        </w:rPr>
        <w:t>Une partition invariante constitue une compression compatible avec la dynamique. Ce fait fournit un certificat de non-vacuité extérieur à l’arithmétique. Les liens avec les partitions génératrices, l’entropie et les systèmes partiellement observés exigent un audit bibliographique primaire avant toute revendication de nouveauté.</w:t>
      </w:r>
    </w:p>
    <w:p>
      <w:pPr>
        <w:pStyle w:val="Heading2"/>
        <w:keepNext/>
      </w:pPr>
      <w:r>
        <w:t>15.3 Cas empirique thermoélectrique [E]</w:t>
      </w:r>
    </w:p>
    <w:p>
      <w:pPr>
        <w:keepNext w:val="0"/>
      </w:pPr>
      <w:r>
        <w:rPr>
          <w:rFonts w:ascii="Liberation Serif" w:hAnsi="Liberation Serif" w:eastAsia="Liberation Serif"/>
          <w:b w:val="0"/>
          <w:i w:val="0"/>
        </w:rPr>
        <w:t>Le cas du cristal stratifié reste une motivation externe : une composition moyenne peut ne pas déterminer une performance lorsque l’ordre des lacunes, les corrélations ou l’histoire thermique diffèrent. Il ne doit pas être présenté comme preuve du formalisme abstrait.</w:t>
      </w:r>
    </w:p>
    <w:p>
      <w:pPr>
        <w:pStyle w:val="Heading2"/>
        <w:keepNext/>
      </w:pPr>
      <w:r>
        <w:t>15.4 Droits de transport</w:t>
      </w:r>
    </w:p>
    <w:p>
      <w:pPr>
        <w:pStyle w:val="ListBullet"/>
      </w:pPr>
      <w:r>
        <w:rPr>
          <w:rFonts w:ascii="Liberation Serif" w:hAnsi="Liberation Serif" w:eastAsia="Liberation Serif"/>
          <w:b w:val="0"/>
          <w:i w:val="0"/>
        </w:rPr>
        <w:t>Un calcul fini ne reçoit pas automatiquement une interprétation asymptotique.</w:t>
      </w:r>
    </w:p>
    <w:p>
      <w:pPr>
        <w:pStyle w:val="ListBullet"/>
      </w:pPr>
      <w:r>
        <w:rPr>
          <w:rFonts w:ascii="Liberation Serif" w:hAnsi="Liberation Serif" w:eastAsia="Liberation Serif"/>
          <w:b w:val="0"/>
          <w:i w:val="0"/>
        </w:rPr>
        <w:t>Une relation spectrale ne vaut pas théorie physique sans opérateur, domaine et contrôle des erreurs.</w:t>
      </w:r>
    </w:p>
    <w:p>
      <w:pPr>
        <w:pStyle w:val="ListBullet"/>
      </w:pPr>
      <w:r>
        <w:rPr>
          <w:rFonts w:ascii="Liberation Serif" w:hAnsi="Liberation Serif" w:eastAsia="Liberation Serif"/>
          <w:b w:val="0"/>
          <w:i w:val="0"/>
        </w:rPr>
        <w:t>Une formalisation machine atteste une proposition typée ; elle ne ratifie pas seule la fidélité sémantique de l’énoncé humain.</w:t>
      </w:r>
    </w:p>
    <w:p>
      <w:pPr>
        <w:pStyle w:val="ListBullet"/>
      </w:pPr>
      <w:r>
        <w:rPr>
          <w:rFonts w:ascii="Liberation Serif" w:hAnsi="Liberation Serif" w:eastAsia="Liberation Serif"/>
          <w:b w:val="0"/>
          <w:i w:val="0"/>
        </w:rPr>
        <w:t>Une analogie entre chambres devient scientifique lorsqu’un morphisme, ses hypothèses et ses pertes sont explicités.</w:t>
      </w:r>
    </w:p>
    <w:p>
      <w:pPr>
        <w:pStyle w:val="Heading1"/>
        <w:keepNext/>
      </w:pPr>
      <w:r>
        <w:t>Chapitre 16 — Publications et chemin critique doctoral</w:t>
      </w:r>
    </w:p>
    <w:p>
      <w:pPr>
        <w:pStyle w:val="Heading2"/>
        <w:keepNext/>
      </w:pPr>
      <w:r>
        <w:t>16.1 Série cumulative d’articles</w:t>
      </w:r>
    </w:p>
    <w:tbl>
      <w:tblPr>
        <w:tblW w:type="auto" w:w="0"/>
        <w:jc w:val="center"/>
        <w:tblLayout w:type="fixed"/>
        <w:tblLook w:firstColumn="1" w:firstRow="1" w:lastColumn="0" w:lastRow="0" w:noHBand="0" w:noVBand="1" w:val="04A0"/>
      </w:tblPr>
      <w:tblGrid>
        <w:gridCol w:w="3274"/>
        <w:gridCol w:w="3274"/>
        <w:gridCol w:w="3274"/>
      </w:tblGrid>
      <w:tr>
        <w:trPr>
          <w:tblHeader w:val="true"/>
          <w:cantSplit/>
          <w:tblHeader w:val="true"/>
        </w:trPr>
        <w:tc>
          <w:tcPr>
            <w:tcW w:type="dxa" w:w="936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Article</w:t>
            </w:r>
          </w:p>
        </w:tc>
        <w:tc>
          <w:tcPr>
            <w:tcW w:type="dxa" w:w="1584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Noyau</w:t>
            </w:r>
          </w:p>
        </w:tc>
        <w:tc>
          <w:tcPr>
            <w:tcW w:type="dxa" w:w="3168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Contenu</w:t>
            </w:r>
          </w:p>
        </w:tc>
      </w:tr>
      <w:tr>
        <w:trPr>
          <w:cantSplit/>
        </w:trPr>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Article A</w:t>
            </w:r>
          </w:p>
        </w:tc>
        <w:tc>
          <w:tcPr>
            <w:tcW w:type="dxa" w:w="1584000"/>
            <w:tcMar>
              <w:top w:w="120" w:type="dxa"/>
              <w:start w:w="150" w:type="dxa"/>
              <w:bottom w:w="120" w:type="dxa"/>
              <w:end w:w="150" w:type="dxa"/>
              <w:left w:w="100" w:type="dxa"/>
              <w:right w:w="100" w:type="dxa"/>
            </w:tcMar>
            <w:vAlign w:val="center"/>
          </w:tcPr>
          <w:p>
            <w:pPr>
              <w:spacing w:after="40"/>
            </w:pPr>
            <w:r>
              <w:t>Fondations et forme graphique</w:t>
            </w:r>
          </w:p>
        </w:tc>
        <w:tc>
          <w:tcPr>
            <w:tcW w:type="dxa" w:w="3168000"/>
            <w:tcMar>
              <w:top w:w="120" w:type="dxa"/>
              <w:start w:w="150" w:type="dxa"/>
              <w:bottom w:w="120" w:type="dxa"/>
              <w:end w:w="150" w:type="dxa"/>
              <w:left w:w="100" w:type="dxa"/>
              <w:right w:w="100" w:type="dxa"/>
            </w:tcMar>
            <w:vAlign w:val="center"/>
          </w:tcPr>
          <w:p>
            <w:pPr>
              <w:spacing w:after="40"/>
            </w:pPr>
            <w:r>
              <w:t>Critère, quotients, graphe de conflit, coloration et statut classique.</w:t>
            </w:r>
          </w:p>
        </w:tc>
      </w:tr>
      <w:tr>
        <w:trPr>
          <w:cantSplit/>
        </w:trPr>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Article B</w:t>
            </w:r>
          </w:p>
        </w:tc>
        <w:tc>
          <w:tcPr>
            <w:tcW w:type="dxa" w:w="1584000"/>
            <w:tcMar>
              <w:top w:w="120" w:type="dxa"/>
              <w:start w:w="150" w:type="dxa"/>
              <w:bottom w:w="120" w:type="dxa"/>
              <w:end w:w="150" w:type="dxa"/>
              <w:left w:w="100" w:type="dxa"/>
              <w:right w:w="100" w:type="dxa"/>
            </w:tcMar>
            <w:vAlign w:val="center"/>
          </w:tcPr>
          <w:p>
            <w:pPr>
              <w:spacing w:after="40"/>
            </w:pPr>
            <w:r>
              <w:t>Comportements et réouverture</w:t>
            </w:r>
          </w:p>
        </w:tc>
        <w:tc>
          <w:tcPr>
            <w:tcW w:type="dxa" w:w="3168000"/>
            <w:tcMar>
              <w:top w:w="120" w:type="dxa"/>
              <w:start w:w="150" w:type="dxa"/>
              <w:bottom w:w="120" w:type="dxa"/>
              <w:end w:w="150" w:type="dxa"/>
              <w:left w:w="100" w:type="dxa"/>
              <w:right w:w="100" w:type="dxa"/>
            </w:tcMar>
            <w:vAlign w:val="center"/>
          </w:tcPr>
          <w:p>
            <w:pPr>
              <w:spacing w:after="40"/>
            </w:pPr>
            <w:r>
              <w:t>THM-L7, spectre, coût cardinal, D3b et THM-D5.</w:t>
            </w:r>
          </w:p>
        </w:tc>
      </w:tr>
      <w:tr>
        <w:trPr>
          <w:cantSplit/>
        </w:trPr>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Article C</w:t>
            </w:r>
          </w:p>
        </w:tc>
        <w:tc>
          <w:tcPr>
            <w:tcW w:type="dxa" w:w="1584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Traces et comportements</w:t>
            </w:r>
          </w:p>
        </w:tc>
        <w:tc>
          <w:tcPr>
            <w:tcW w:type="dxa" w:w="316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THM-L2, S4, S5, S6, S8.</w:t>
            </w:r>
          </w:p>
        </w:tc>
      </w:tr>
      <w:tr>
        <w:trPr>
          <w:cantSplit/>
        </w:trPr>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Article D</w:t>
            </w:r>
          </w:p>
        </w:tc>
        <w:tc>
          <w:tcPr>
            <w:tcW w:type="dxa" w:w="1584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Futurs et non-descente</w:t>
            </w:r>
          </w:p>
        </w:tc>
        <w:tc>
          <w:tcPr>
            <w:tcW w:type="dxa" w:w="316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D1–D4, Y33, demandes et marges locales.</w:t>
            </w:r>
          </w:p>
        </w:tc>
      </w:tr>
      <w:tr>
        <w:trPr>
          <w:cantSplit/>
        </w:trPr>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Article E</w:t>
            </w:r>
          </w:p>
        </w:tc>
        <w:tc>
          <w:tcPr>
            <w:tcW w:type="dxa" w:w="1584000"/>
            <w:tcMar>
              <w:top w:w="120" w:type="dxa"/>
              <w:start w:w="150" w:type="dxa"/>
              <w:bottom w:w="120" w:type="dxa"/>
              <w:end w:w="150" w:type="dxa"/>
              <w:left w:w="100" w:type="dxa"/>
              <w:right w:w="100" w:type="dxa"/>
            </w:tcMar>
            <w:vAlign w:val="center"/>
          </w:tcPr>
          <w:p>
            <w:pPr>
              <w:spacing w:after="40" w:line="252" w:lineRule="auto"/>
            </w:pPr>
            <w:r>
              <w:t>Restauration uniforme et filtration</w:t>
            </w:r>
          </w:p>
        </w:tc>
        <w:tc>
          <w:tcPr>
            <w:tcW w:type="dxa" w:w="3168000"/>
            <w:tcMar>
              <w:top w:w="120" w:type="dxa"/>
              <w:start w:w="150" w:type="dxa"/>
              <w:bottom w:w="120" w:type="dxa"/>
              <w:end w:w="150" w:type="dxa"/>
              <w:left w:w="100" w:type="dxa"/>
              <w:right w:w="100" w:type="dxa"/>
            </w:tcMar>
            <w:vAlign w:val="center"/>
          </w:tcPr>
          <w:p>
            <w:pPr>
              <w:spacing w:after="40"/>
            </w:pPr>
            <w:r>
              <w:t>Reach/UReach, planification conforme, R2-bis, LEM-B0, 𝒦^(t), τ_B et κ_t.</w:t>
            </w:r>
          </w:p>
        </w:tc>
      </w:tr>
      <w:tr>
        <w:trPr>
          <w:cantSplit/>
        </w:trPr>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Article F</w:t>
            </w:r>
          </w:p>
        </w:tc>
        <w:tc>
          <w:tcPr>
            <w:tcW w:type="dxa" w:w="1584000"/>
            <w:tcMar>
              <w:top w:w="120" w:type="dxa"/>
              <w:start w:w="150" w:type="dxa"/>
              <w:bottom w:w="120" w:type="dxa"/>
              <w:end w:w="150" w:type="dxa"/>
              <w:left w:w="100" w:type="dxa"/>
              <w:right w:w="100" w:type="dxa"/>
            </w:tcMar>
            <w:vAlign w:val="center"/>
          </w:tcPr>
          <w:p>
            <w:pPr>
              <w:spacing w:after="40"/>
            </w:pPr>
            <w:r>
              <w:t>Fibres de réalisation et complexité</w:t>
            </w:r>
          </w:p>
        </w:tc>
        <w:tc>
          <w:tcPr>
            <w:tcW w:type="dxa" w:w="3168000"/>
            <w:tcMar>
              <w:top w:w="120" w:type="dxa"/>
              <w:start w:w="150" w:type="dxa"/>
              <w:bottom w:w="120" w:type="dxa"/>
              <w:end w:w="150" w:type="dxa"/>
              <w:left w:w="100" w:type="dxa"/>
              <w:right w:w="100" w:type="dxa"/>
            </w:tcMar>
            <w:vAlign w:val="center"/>
          </w:tcPr>
          <w:p>
            <w:pPr>
              <w:spacing w:after="40"/>
            </w:pPr>
            <w:r>
              <w:t>THM-B-FILT, Real(𝔽), CompDyn, borne par mots et programme des résidus.</w:t>
            </w:r>
          </w:p>
        </w:tc>
      </w:tr>
      <w:tr>
        <w:trPr>
          <w:cantSplit/>
        </w:trPr>
        <w:tc>
          <w:tcPr>
            <w:tcW w:type="dxa" w:w="3274"/>
            <w:vAlign w:val="center"/>
            <w:tcMar>
              <w:top w:w="120" w:type="dxa"/>
              <w:left w:w="100" w:type="dxa"/>
              <w:bottom w:w="120" w:type="dxa"/>
              <w:right w:w="100" w:type="dxa"/>
              <w:start w:w="150" w:type="dxa"/>
              <w:end w:w="150" w:type="dxa"/>
            </w:tcMar>
          </w:tcPr>
          <w:p>
            <w:pPr>
              <w:spacing w:after="40" w:line="252" w:lineRule="auto"/>
            </w:pPr>
            <w:r>
              <w:t>Article G</w:t>
            </w:r>
          </w:p>
        </w:tc>
        <w:tc>
          <w:tcPr>
            <w:tcW w:type="dxa" w:w="3274"/>
            <w:vAlign w:val="center"/>
            <w:tcMar>
              <w:top w:w="120" w:type="dxa"/>
              <w:left w:w="100" w:type="dxa"/>
              <w:bottom w:w="120" w:type="dxa"/>
              <w:right w:w="100" w:type="dxa"/>
              <w:start w:w="150" w:type="dxa"/>
              <w:end w:w="150" w:type="dxa"/>
            </w:tcMar>
          </w:tcPr>
          <w:p>
            <w:pPr>
              <w:spacing w:after="40" w:line="252" w:lineRule="auto"/>
            </w:pPr>
            <w:r>
              <w:t>Provenance et oubli</w:t>
            </w:r>
          </w:p>
        </w:tc>
        <w:tc>
          <w:tcPr>
            <w:tcW w:type="dxa" w:w="3274"/>
            <w:vAlign w:val="center"/>
            <w:tcMar>
              <w:top w:w="120" w:type="dxa"/>
              <w:left w:w="100" w:type="dxa"/>
              <w:bottom w:w="120" w:type="dxa"/>
              <w:right w:w="100" w:type="dxa"/>
              <w:start w:w="150" w:type="dxa"/>
              <w:end w:w="150" w:type="dxa"/>
            </w:tcMar>
          </w:tcPr>
          <w:p>
            <w:pPr>
              <w:spacing w:after="40"/>
            </w:pPr>
            <w:r>
              <w:t>Gen→ExtReg→Obs, traces causales, R1-2 et obstruction R1-3 conditionnelle.</w:t>
            </w:r>
          </w:p>
        </w:tc>
      </w:tr>
      <w:tr>
        <w:trPr>
          <w:cantSplit/>
        </w:trPr>
        <w:tc>
          <w:tcPr>
            <w:tcW w:type="dxa" w:w="3274"/>
            <w:tcMar>
              <w:top w:w="120" w:type="dxa"/>
              <w:start w:w="150" w:type="dxa"/>
              <w:bottom w:w="120" w:type="dxa"/>
              <w:end w:w="150" w:type="dxa"/>
            </w:tcMar>
            <w:vAlign w:val="center"/>
          </w:tcPr>
          <w:p>
            <w:pPr>
              <w:spacing w:after="40"/>
            </w:pPr>
            <w:r>
              <w:t>Article H</w:t>
            </w:r>
          </w:p>
        </w:tc>
        <w:tc>
          <w:tcPr>
            <w:tcW w:type="dxa" w:w="3274"/>
            <w:tcMar>
              <w:top w:w="120" w:type="dxa"/>
              <w:start w:w="150" w:type="dxa"/>
              <w:bottom w:w="120" w:type="dxa"/>
              <w:end w:w="150" w:type="dxa"/>
            </w:tcMar>
            <w:vAlign w:val="center"/>
          </w:tcPr>
          <w:p>
            <w:pPr>
              <w:spacing w:after="40"/>
            </w:pPr>
            <w:r>
              <w:t>Méthodologie de l’antériorité</w:t>
            </w:r>
          </w:p>
        </w:tc>
        <w:tc>
          <w:tcPr>
            <w:tcW w:type="dxa" w:w="3274"/>
            <w:tcMar>
              <w:top w:w="120" w:type="dxa"/>
              <w:start w:w="150" w:type="dxa"/>
              <w:bottom w:w="120" w:type="dxa"/>
              <w:end w:w="150" w:type="dxa"/>
            </w:tcMar>
            <w:vAlign w:val="center"/>
          </w:tcPr>
          <w:p>
            <w:pPr>
              <w:spacing w:after="40"/>
            </w:pPr>
            <w:r>
              <w:t>Dossiers PA, titres de contribution et provenance indépendante de la vérité et de la nouveauté.</w:t>
            </w:r>
          </w:p>
        </w:tc>
      </w:tr>
    </w:tbl>
    <w:p>
      <w:pPr>
        <w:spacing w:after="0"/>
      </w:pPr>
    </w:p>
    <w:p>
      <w:pPr>
        <w:pStyle w:val="Heading2"/>
        <w:keepNext/>
      </w:pPr>
      <w:r>
        <w:t>16.2 Ordre d’exécution arrêté</w:t>
      </w:r>
    </w:p>
    <w:p>
      <w:pPr>
        <w:ind w:left="312" w:hanging="312"/>
      </w:pPr>
      <w:r>
        <w:t>1. Établir la matrice d’antériorité de THM-F0 à R1-3 et attribuer à chaque énoncé un type de contribution : fondation, traduction, structure ou théorème.</w:t>
      </w:r>
    </w:p>
    <w:p>
      <w:pPr>
        <w:ind w:left="312" w:hanging="312"/>
      </w:pPr>
      <w:r>
        <w:t>2. Reprendre la Partie I sous la forme normale du graphe de conflit et auditer THM-L1, THM-L7, THM-L9 et le spectre optimal dans ce vocabulaire.</w:t>
      </w:r>
    </w:p>
    <w:p>
      <w:pPr>
        <w:ind w:left="312" w:hanging="312"/>
      </w:pPr>
      <w:r>
        <w:t>3. Formaliser THM-D5, distinguer le résidu d’un code concret du prix d’un recodage global et produire des témoins de codes équipotents à résidus différents.</w:t>
      </w:r>
    </w:p>
    <w:p>
      <w:pPr>
        <w:ind w:left="312" w:hanging="312"/>
      </w:pPr>
      <w:r>
        <w:t>4. Construire Real(𝔽) et CompDyn(𝔽), puis développer les premières bornes multicritères et la théorie des résidus de réparation.</w:t>
      </w:r>
    </w:p>
    <w:p>
      <w:pPr>
        <w:ind w:left="312" w:hanging="312"/>
      </w:pPr>
      <w:r>
        <w:t>5. Définir la sémantique des événements de R1, tester l’unicité élémentaire sans l’inférer de A5-min, puis seulement produire ou retirer le certificat conditionnel de R1-3.</w:t>
      </w:r>
    </w:p>
    <w:p>
      <w:pPr>
        <w:ind w:left="312" w:hanging="312"/>
      </w:pPr>
      <w:r>
        <w:t>6. Épingler les sources primaires, geler le registre PA daté et extraire les articles selon leur titre réel de contribution.</w:t>
      </w:r>
    </w:p>
    <w:p>
      <w:pPr>
        <w:ind w:left="312" w:hanging="312"/>
      </w:pPr>
      <w:r>
        <w:t>7. Reprendre ensuite les morphismes internes, l’extinction du générateur, les filtrations d’érosion, le contrôle adaptatif et la provenance de la capacité.</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left w:val="single" w:sz="22" w:color="2E5D62"/>
            </w:tcBorders>
            <w:tcMar>
              <w:top w:w="120" w:type="dxa"/>
              <w:start w:w="150" w:type="dxa"/>
              <w:bottom w:w="120" w:type="dxa"/>
              <w:end w:w="150" w:type="dxa"/>
              <w:left w:w="100" w:type="dxa"/>
              <w:right w:w="100" w:type="dxa"/>
            </w:tcMar>
            <w:vAlign w:val="center"/>
          </w:tcPr>
          <w:p>
            <w:pPr>
              <w:keepLines/>
              <w:spacing w:after="40" w:line="252" w:lineRule="auto"/>
            </w:pPr>
            <w:r>
              <w:rPr>
                <w:rFonts w:ascii="Liberation Sans" w:hAnsi="Liberation Sans" w:eastAsia="Liberation Sans"/>
                <w:b/>
                <w:i w:val="0"/>
                <w:color w:val="243436"/>
                <w:sz w:val="20"/>
              </w:rPr>
              <w:t>Chemin critique</w:t>
            </w:r>
            <w:r>
              <w:rPr>
                <w:rFonts w:ascii="Liberation Sans" w:hAnsi="Liberation Sans" w:eastAsia="Liberation Sans"/>
                <w:b/>
                <w:i w:val="0"/>
                <w:color w:val="7A4E2D"/>
                <w:sz w:val="19"/>
              </w:rPr>
              <w:t xml:space="preserve"> [R]</w:t>
            </w:r>
            <w:r>
              <w:rPr>
                <w:rFonts w:ascii="Liberation Serif" w:hAnsi="Liberation Serif" w:eastAsia="Liberation Serif"/>
                <w:b w:val="0"/>
                <w:i w:val="0"/>
                <w:sz w:val="19"/>
              </w:rPr>
              <w:br/>
              <w:t>La prochaine avancée n’est plus un nouveau domaine. Elle consiste à convertir les décisions ratifiées en définitions formelles, puis à fermer les deux laboratoires qui contrôlent la moitié dynamique et généalogique de la thèse.</w:t>
            </w:r>
          </w:p>
        </w:tc>
      </w:tr>
    </w:tbl>
    <w:p>
      <w:pPr>
        <w:spacing w:after="0"/>
      </w:pPr>
    </w:p>
    <w:p>
      <w:pPr>
        <w:pStyle w:val="Heading2"/>
        <w:keepNext/>
      </w:pPr>
      <w:r>
        <w:t>16.3 Critère de fermeture de la version suivante</w:t>
      </w:r>
    </w:p>
    <w:p>
      <w:pPr>
        <w:pStyle w:val="ListBullet"/>
      </w:pPr>
      <w:r>
        <w:t>La forme normale graphique et son statut de fondation classique sont intégrés sans sur-revendication.</w:t>
      </w:r>
    </w:p>
    <w:p>
      <w:pPr>
        <w:pStyle w:val="ListBullet"/>
      </w:pPr>
      <w:r>
        <w:t>THM-D5 est démontré, comparé à D3b et attesté sur des témoins où la taille du code ne détermine pas son résidu.</w:t>
      </w:r>
    </w:p>
    <w:p>
      <w:pPr>
        <w:pStyle w:val="ListBullet"/>
      </w:pPr>
      <w:r>
        <w:t>Real(𝔽) et le profil CompDyn sont définis ; les coûts m, n_aux, e, T et L_𝔈 ne sont plus confondus.</w:t>
      </w:r>
    </w:p>
    <w:p>
      <w:pPr>
        <w:pStyle w:val="ListBullet"/>
      </w:pPr>
      <w:r>
        <w:t>R1-3 est maintenu conditionnel tant que l’unicité élémentaire n’est pas démontrée par une sémantique indépendante de la conclusion.</w:t>
      </w:r>
    </w:p>
    <w:p>
      <w:pPr>
        <w:pStyle w:val="ListBullet"/>
      </w:pPr>
      <w:r>
        <w:t>Chaque théorème central indique ses hypothèses, son artefact, son dossier PA daté, son recouvrement connu, son delta résiduel et son titre exact de contribution.</w:t>
      </w:r>
    </w:p>
    <w:p>
      <w:pPr>
        <w:pStyle w:val="Heading2"/>
        <w:keepNext/>
      </w:pPr>
      <w:r>
        <w:rPr>
          <w:b w:val="0"/>
          <w:i w:val="0"/>
        </w:rPr>
        <w:t>16.4 Obligations documentaires et interdits de phase</w:t>
      </w:r>
    </w:p>
    <w:p>
      <w:pPr/>
      <w:r>
        <w:rPr>
          <w:b w:val="0"/>
          <w:i w:val="0"/>
        </w:rPr>
        <w:t>Avant inscription définitive, des fiches primaires doivent être épinglées sur : quotients et treillis des partitions ; coloration et codage fonctionnel zéro erreur avec information latérale ; comparaison des expériences et suffisance ; planification conforme et contrôle sous observation partielle ; synchronisation complète et prudente ; synthèse et minimisation d’automates ; provenance des bases, systèmes d’événements et traces ; largeur bornée et obstruction affine ; théorie de l’information et description. Les références citées de mémoire restent [E].</w:t>
      </w:r>
    </w:p>
    <w:p>
      <w:pPr/>
      <w:r>
        <w:rPr>
          <w:b w:val="0"/>
          <w:i w:val="0"/>
        </w:rPr>
        <w:t>Jusqu’au gel de la matrice d’antériorité et des objets Real/CompDyn : aucun nouveau laboratoire arithmétique, aucune extension physique, aucune réinterprétation de M30, aucune généralisation catégorique de façade et aucune revendication d’inédit sans dossier PA. Les nouveaux théorèmes doivent répondre à un écart bibliographique explicitement identifié.</w:t>
      </w:r>
    </w:p>
    <w:p>
      <w:r>
        <w:br w:type="page"/>
      </w:r>
    </w:p>
    <w:p>
      <w:pPr>
        <w:spacing w:before="840"/>
        <w:jc w:val="center"/>
      </w:pPr>
      <w:r>
        <w:rPr>
          <w:b/>
          <w:i w:val="0"/>
          <w:sz w:val="24"/>
        </w:rPr>
        <w:t>PARTIE VI</w:t>
      </w:r>
    </w:p>
    <w:p>
      <w:pPr>
        <w:jc w:val="center"/>
      </w:pPr>
      <w:r>
        <w:rPr>
          <w:b/>
          <w:i w:val="0"/>
          <w:sz w:val="44"/>
        </w:rPr>
        <w:t>FORMES NORMALES, FIBRES DE RÉALISATION ET STATUT SCIENTIFIQUE</w:t>
      </w:r>
    </w:p>
    <w:p>
      <w:pPr>
        <w:jc w:val="center"/>
      </w:pPr>
      <w:r>
        <w:rPr>
          <w:b w:val="0"/>
          <w:i/>
          <w:sz w:val="23"/>
        </w:rPr>
        <w:t>Repositionnement bibliographique et nouveau centre doctoral</w:t>
      </w:r>
    </w:p>
    <w:p>
      <w:pPr>
        <w:spacing w:after="280"/>
        <w:jc w:val="center"/>
      </w:pPr>
      <w:r>
        <w:rPr>
          <w:b/>
          <w:i w:val="0"/>
          <w:sz w:val="20"/>
        </w:rPr>
        <w:t>comportement  →  réalisations  →  profils minimaux  →  provenance  →  sélection canonique</w:t>
      </w:r>
    </w:p>
    <w:p>
      <w:pPr>
        <w:pStyle w:val="Heading1"/>
        <w:keepNext/>
      </w:pPr>
      <w:r>
        <w:rPr>
          <w:b w:val="0"/>
          <w:i w:val="0"/>
        </w:rPr>
        <w:t>Chapitre 17 — Refactorisation de la théorie reconstructive</w:t>
      </w:r>
    </w:p>
    <w:p>
      <w:pPr>
        <w:pStyle w:val="Heading2"/>
        <w:keepNext/>
      </w:pPr>
      <w:r>
        <w:rPr>
          <w:b w:val="0"/>
          <w:i w:val="0"/>
        </w:rPr>
        <w:t>17.1 Ce que la forme graphique absorbe</w:t>
      </w:r>
    </w:p>
    <w:p>
      <w:r>
        <w:rPr>
          <w:b w:val="0"/>
          <w:i w:val="0"/>
        </w:rPr>
        <w:t>Le graphe de conflit transforme la reconstruction déterministe en coloration propre. Cette équivalence absorbe le critère de noyaux, le coût cardinal et une partie de la théorie des comportements optimaux. Elle ne supprime pas le manuscrit : elle donne un vocabulaire standard permettant de distinguer les résultats classiques des raffinements encore à auditer.</w:t>
      </w:r>
    </w:p>
    <w:tbl>
      <w:tblPr>
        <w:tblW w:type="auto" w:w="0"/>
        <w:jc w:val="center"/>
        <w:tblLook w:firstColumn="1" w:firstRow="1" w:lastColumn="0" w:lastRow="0" w:noHBand="0" w:noVBand="1" w:val="04A0"/>
      </w:tblPr>
      <w:tblGrid>
        <w:gridCol w:w="3274"/>
        <w:gridCol w:w="3274"/>
        <w:gridCol w:w="3274"/>
      </w:tblGrid>
      <w:tr>
        <w:trPr>
          <w:tblHeader w:val="true"/>
          <w:cantSplit/>
        </w:trPr>
        <w:tc>
          <w:tcPr>
            <w:tcW w:type="dxa" w:w="2448"/>
            <w:shd w:fill="DCE6F1"/>
            <w:tcMar>
              <w:top w:w="120" w:type="dxa"/>
              <w:start w:w="150" w:type="dxa"/>
              <w:bottom w:w="120" w:type="dxa"/>
              <w:end w:w="150" w:type="dxa"/>
            </w:tcMar>
            <w:vAlign w:val="center"/>
          </w:tcPr>
          <w:p>
            <w:pPr>
              <w:spacing w:after="40"/>
            </w:pPr>
            <w:r>
              <w:rPr>
                <w:b/>
              </w:rPr>
              <w:t>Objet du manuscrit</w:t>
            </w:r>
          </w:p>
        </w:tc>
        <w:tc>
          <w:tcPr>
            <w:tcW w:type="dxa" w:w="3168"/>
            <w:shd w:fill="DCE6F1"/>
            <w:tcMar>
              <w:top w:w="120" w:type="dxa"/>
              <w:start w:w="150" w:type="dxa"/>
              <w:bottom w:w="120" w:type="dxa"/>
              <w:end w:w="150" w:type="dxa"/>
            </w:tcMar>
            <w:vAlign w:val="center"/>
          </w:tcPr>
          <w:p>
            <w:pPr>
              <w:spacing w:after="40"/>
            </w:pPr>
            <w:r>
              <w:rPr>
                <w:b/>
              </w:rPr>
              <w:t>Forme normale</w:t>
            </w:r>
          </w:p>
        </w:tc>
        <w:tc>
          <w:tcPr>
            <w:tcW w:type="dxa" w:w="3312"/>
            <w:shd w:fill="DCE6F1"/>
            <w:tcMar>
              <w:top w:w="120" w:type="dxa"/>
              <w:start w:w="150" w:type="dxa"/>
              <w:bottom w:w="120" w:type="dxa"/>
              <w:end w:w="150" w:type="dxa"/>
            </w:tcMar>
            <w:vAlign w:val="center"/>
          </w:tcPr>
          <w:p>
            <w:pPr>
              <w:spacing w:after="40"/>
            </w:pPr>
            <w:r>
              <w:rPr>
                <w:b/>
              </w:rPr>
              <w:t>Titre provisoire</w:t>
            </w:r>
          </w:p>
        </w:tc>
      </w:tr>
      <w:tr>
        <w:trPr>
          <w:cantSplit/>
        </w:trPr>
        <w:tc>
          <w:tcPr>
            <w:tcW w:type="dxa" w:w="2448"/>
            <w:tcMar>
              <w:top w:w="120" w:type="dxa"/>
              <w:start w:w="150" w:type="dxa"/>
              <w:bottom w:w="120" w:type="dxa"/>
              <w:end w:w="150" w:type="dxa"/>
            </w:tcMar>
            <w:vAlign w:val="center"/>
          </w:tcPr>
          <w:p>
            <w:pPr>
              <w:spacing w:after="40"/>
            </w:pPr>
            <w:r>
              <w:t>Critère fondamental</w:t>
            </w:r>
          </w:p>
        </w:tc>
        <w:tc>
          <w:tcPr>
            <w:tcW w:type="dxa" w:w="3168"/>
            <w:tcMar>
              <w:top w:w="120" w:type="dxa"/>
              <w:start w:w="150" w:type="dxa"/>
              <w:bottom w:w="120" w:type="dxa"/>
              <w:end w:w="150" w:type="dxa"/>
            </w:tcMar>
            <w:vAlign w:val="center"/>
          </w:tcPr>
          <w:p>
            <w:pPr>
              <w:spacing w:after="40"/>
            </w:pPr>
            <w:r>
              <w:t>Absence d’arête monochromatique</w:t>
            </w:r>
          </w:p>
        </w:tc>
        <w:tc>
          <w:tcPr>
            <w:tcW w:type="dxa" w:w="3312"/>
            <w:tcMar>
              <w:top w:w="120" w:type="dxa"/>
              <w:start w:w="150" w:type="dxa"/>
              <w:bottom w:w="120" w:type="dxa"/>
              <w:end w:w="150" w:type="dxa"/>
            </w:tcMar>
            <w:vAlign w:val="center"/>
          </w:tcPr>
          <w:p>
            <w:pPr>
              <w:spacing w:after="40"/>
            </w:pPr>
            <w:r>
              <w:t>Fondation classique</w:t>
            </w:r>
          </w:p>
        </w:tc>
      </w:tr>
      <w:tr>
        <w:trPr>
          <w:cantSplit/>
        </w:trPr>
        <w:tc>
          <w:tcPr>
            <w:tcW w:type="dxa" w:w="2448"/>
            <w:tcMar>
              <w:top w:w="120" w:type="dxa"/>
              <w:start w:w="150" w:type="dxa"/>
              <w:bottom w:w="120" w:type="dxa"/>
              <w:end w:w="150" w:type="dxa"/>
            </w:tcMar>
            <w:vAlign w:val="center"/>
          </w:tcPr>
          <w:p>
            <w:pPr>
              <w:spacing w:after="40"/>
            </w:pPr>
            <w:r>
              <w:t>Supplément reconstructif</w:t>
            </w:r>
          </w:p>
        </w:tc>
        <w:tc>
          <w:tcPr>
            <w:tcW w:type="dxa" w:w="3168"/>
            <w:tcMar>
              <w:top w:w="120" w:type="dxa"/>
              <w:start w:w="150" w:type="dxa"/>
              <w:bottom w:w="120" w:type="dxa"/>
              <w:end w:w="150" w:type="dxa"/>
            </w:tcMar>
            <w:vAlign w:val="center"/>
          </w:tcPr>
          <w:p>
            <w:pPr>
              <w:spacing w:after="40"/>
            </w:pPr>
            <w:r>
              <w:t>Coloration propre de Γ_{π,F}</w:t>
            </w:r>
          </w:p>
        </w:tc>
        <w:tc>
          <w:tcPr>
            <w:tcW w:type="dxa" w:w="3312"/>
            <w:tcMar>
              <w:top w:w="120" w:type="dxa"/>
              <w:start w:w="150" w:type="dxa"/>
              <w:bottom w:w="120" w:type="dxa"/>
              <w:end w:w="150" w:type="dxa"/>
            </w:tcMar>
            <w:vAlign w:val="center"/>
          </w:tcPr>
          <w:p>
            <w:pPr>
              <w:spacing w:after="40"/>
            </w:pPr>
            <w:r>
              <w:t>Traduction</w:t>
            </w:r>
          </w:p>
        </w:tc>
      </w:tr>
      <w:tr>
        <w:trPr>
          <w:cantSplit/>
        </w:trPr>
        <w:tc>
          <w:tcPr>
            <w:tcW w:type="dxa" w:w="2448"/>
            <w:tcMar>
              <w:top w:w="120" w:type="dxa"/>
              <w:start w:w="150" w:type="dxa"/>
              <w:bottom w:w="120" w:type="dxa"/>
              <w:end w:w="150" w:type="dxa"/>
            </w:tcMar>
            <w:vAlign w:val="center"/>
          </w:tcPr>
          <w:p>
            <w:pPr>
              <w:spacing w:after="40"/>
            </w:pPr>
            <w:r>
              <w:t>Coût cardinal</w:t>
            </w:r>
          </w:p>
        </w:tc>
        <w:tc>
          <w:tcPr>
            <w:tcW w:type="dxa" w:w="3168"/>
            <w:tcMar>
              <w:top w:w="120" w:type="dxa"/>
              <w:start w:w="150" w:type="dxa"/>
              <w:bottom w:w="120" w:type="dxa"/>
              <w:end w:w="150" w:type="dxa"/>
            </w:tcMar>
            <w:vAlign w:val="center"/>
          </w:tcPr>
          <w:p>
            <w:pPr>
              <w:spacing w:after="40"/>
            </w:pPr>
            <w:r>
              <w:t>Nombre chromatique</w:t>
            </w:r>
          </w:p>
        </w:tc>
        <w:tc>
          <w:tcPr>
            <w:tcW w:type="dxa" w:w="3312"/>
            <w:tcMar>
              <w:top w:w="120" w:type="dxa"/>
              <w:start w:w="150" w:type="dxa"/>
              <w:bottom w:w="120" w:type="dxa"/>
              <w:end w:w="150" w:type="dxa"/>
            </w:tcMar>
            <w:vAlign w:val="center"/>
          </w:tcPr>
          <w:p>
            <w:pPr>
              <w:spacing w:after="40"/>
            </w:pPr>
            <w:r>
              <w:t>Fondation/traduction</w:t>
            </w:r>
          </w:p>
        </w:tc>
      </w:tr>
      <w:tr>
        <w:trPr>
          <w:cantSplit/>
        </w:trPr>
        <w:tc>
          <w:tcPr>
            <w:tcW w:type="dxa" w:w="2448"/>
            <w:tcMar>
              <w:top w:w="120" w:type="dxa"/>
              <w:start w:w="150" w:type="dxa"/>
              <w:bottom w:w="120" w:type="dxa"/>
              <w:end w:w="150" w:type="dxa"/>
            </w:tcMar>
            <w:vAlign w:val="center"/>
          </w:tcPr>
          <w:p>
            <w:pPr>
              <w:spacing w:after="40"/>
            </w:pPr>
            <w:r>
              <w:t>Comportement optimal</w:t>
            </w:r>
          </w:p>
        </w:tc>
        <w:tc>
          <w:tcPr>
            <w:tcW w:type="dxa" w:w="3168"/>
            <w:tcMar>
              <w:top w:w="120" w:type="dxa"/>
              <w:start w:w="150" w:type="dxa"/>
              <w:bottom w:w="120" w:type="dxa"/>
              <w:end w:w="150" w:type="dxa"/>
            </w:tcMar>
            <w:vAlign w:val="center"/>
          </w:tcPr>
          <w:p>
            <w:pPr>
              <w:spacing w:after="40"/>
            </w:pPr>
            <w:r>
              <w:t>Partition colorante optimale</w:t>
            </w:r>
          </w:p>
        </w:tc>
        <w:tc>
          <w:tcPr>
            <w:tcW w:type="dxa" w:w="3312"/>
            <w:tcMar>
              <w:top w:w="120" w:type="dxa"/>
              <w:start w:w="150" w:type="dxa"/>
              <w:bottom w:w="120" w:type="dxa"/>
              <w:end w:w="150" w:type="dxa"/>
            </w:tcMar>
            <w:vAlign w:val="center"/>
          </w:tcPr>
          <w:p>
            <w:pPr>
              <w:spacing w:after="40"/>
            </w:pPr>
            <w:r>
              <w:t>Structure ordonnée à auditer</w:t>
            </w:r>
          </w:p>
        </w:tc>
      </w:tr>
      <w:tr>
        <w:trPr>
          <w:cantSplit/>
        </w:trPr>
        <w:tc>
          <w:tcPr>
            <w:tcW w:type="dxa" w:w="2448"/>
            <w:tcMar>
              <w:top w:w="120" w:type="dxa"/>
              <w:start w:w="150" w:type="dxa"/>
              <w:bottom w:w="120" w:type="dxa"/>
              <w:end w:w="150" w:type="dxa"/>
            </w:tcMar>
            <w:vAlign w:val="center"/>
          </w:tcPr>
          <w:p>
            <w:pPr>
              <w:spacing w:after="40"/>
            </w:pPr>
            <w:r>
              <w:t>Non-canonicité</w:t>
            </w:r>
          </w:p>
        </w:tc>
        <w:tc>
          <w:tcPr>
            <w:tcW w:type="dxa" w:w="3168"/>
            <w:tcMar>
              <w:top w:w="120" w:type="dxa"/>
              <w:start w:w="150" w:type="dxa"/>
              <w:bottom w:w="120" w:type="dxa"/>
              <w:end w:w="150" w:type="dxa"/>
            </w:tcMar>
            <w:vAlign w:val="center"/>
          </w:tcPr>
          <w:p>
            <w:pPr>
              <w:spacing w:after="40"/>
            </w:pPr>
            <w:r>
              <w:t>Pluralité des colorations/partitions optimales</w:t>
            </w:r>
          </w:p>
        </w:tc>
        <w:tc>
          <w:tcPr>
            <w:tcW w:type="dxa" w:w="3312"/>
            <w:tcMar>
              <w:top w:w="120" w:type="dxa"/>
              <w:start w:w="150" w:type="dxa"/>
              <w:bottom w:w="120" w:type="dxa"/>
              <w:end w:w="150" w:type="dxa"/>
            </w:tcMar>
            <w:vAlign w:val="center"/>
          </w:tcPr>
          <w:p>
            <w:pPr>
              <w:spacing w:after="40"/>
            </w:pPr>
            <w:r>
              <w:t>Synthèse ou théorème selon le delta</w:t>
            </w:r>
          </w:p>
        </w:tc>
      </w:tr>
    </w:tbl>
    <w:p>
      <w:pPr>
        <w:pStyle w:val="Heading2"/>
        <w:keepNext/>
      </w:pPr>
      <w:r>
        <w:rPr>
          <w:b w:val="0"/>
          <w:i w:val="0"/>
        </w:rPr>
        <w:t>17.2 Deux notions de coût à ne plus confondre</w:t>
      </w:r>
    </w:p>
    <w:p>
      <w:r>
        <w:rPr>
          <w:b w:val="0"/>
          <w:i w:val="0"/>
        </w:rPr>
        <w:t>D3b concerne la meilleure reconstruction conjointe possible lorsque tout le code peut être redessiné. THM-D5 concerne le supplément minimal lorsque le code q est conservé. Le premier dépend des largeurs fibrées de (F,G) ; le second dépend des cellules concrètes de (π,q). Une marge d’alphabet n’est pas une distinction acquise.</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7EEF8"/>
            <w:vAlign w:val="center"/>
          </w:tcPr>
          <w:p>
            <w:pPr>
              <w:spacing w:after="40"/>
            </w:pPr>
            <w:r/>
            <w:r>
              <w:rPr>
                <w:b/>
              </w:rPr>
              <w:t>Séparation quantitative centrale</w:t>
            </w:r>
          </w:p>
          <w:p>
            <w:pPr>
              <w:spacing w:before="60" w:after="40"/>
            </w:pPr>
            <w:r>
              <w:t>Même cardinal actuel  ⇏  même coût de réouverture. Même coût global optimal  ⇏  même résidu d’un code matérialisé.</w:t>
            </w:r>
          </w:p>
        </w:tc>
      </w:tr>
    </w:tbl>
    <w:p>
      <w:pPr>
        <w:pStyle w:val="Heading2"/>
        <w:keepNext/>
      </w:pPr>
      <w:r>
        <w:rPr>
          <w:b w:val="0"/>
          <w:i w:val="0"/>
        </w:rPr>
        <w:t>17.3 Statut scientifique de la Partie I</w:t>
      </w:r>
    </w:p>
    <w:p>
      <w:r>
        <w:rPr>
          <w:b w:val="0"/>
          <w:i w:val="0"/>
        </w:rPr>
        <w:t>La Partie I demeure nécessaire comme fondation démonstrative et dictionnaire entre quotient, partition, coloration et cible relative. Elle ne doit plus être présentée globalement comme la contribution originale de la thèse. Son originalité éventuelle doit être localisée dans des deltas précis : ordre des comportements sous contraintes, réouverture d’un code matérialisé, symétries et interactions multi-cibles.</w:t>
      </w:r>
    </w:p>
    <w:p>
      <w:pPr>
        <w:pStyle w:val="Heading1"/>
        <w:keepNext/>
      </w:pPr>
      <w:r>
        <w:rPr>
          <w:b w:val="0"/>
          <w:i w:val="0"/>
        </w:rPr>
        <w:t>Chapitre 18 — Fibres de réalisation et complexité des mécanismes</w:t>
      </w:r>
    </w:p>
    <w:p>
      <w:pPr>
        <w:pStyle w:val="Heading2"/>
        <w:keepNext/>
      </w:pPr>
      <w:r>
        <w:rPr>
          <w:b w:val="0"/>
          <w:i w:val="0"/>
        </w:rPr>
        <w:t>18.1 Universalité extensionnelle de la filtration</w:t>
      </w:r>
    </w:p>
    <w:p>
      <w:r>
        <w:rPr>
          <w:b w:val="0"/>
          <w:i w:val="0"/>
        </w:rPr>
        <w:t>THM-B-FILT rend la filtration extensionnellement universelle : sous la condition d’horizon zéro et avec auxiliaires, toute filtration simpliciale finie croissante est réalisable. Elle décrit donc la phénoménologie de la réparabilité, non la nature de son mécanisme.</w:t>
      </w:r>
    </w:p>
    <w:p>
      <w:pPr>
        <w:pStyle w:val="Heading2"/>
        <w:keepNext/>
      </w:pPr>
      <w:r>
        <w:rPr>
          <w:b w:val="0"/>
          <w:i w:val="0"/>
        </w:rPr>
        <w:t>18.2 La fibre comme nouvel objet central</w:t>
      </w:r>
    </w:p>
    <w:p>
      <w:r>
        <w:rPr>
          <w:b w:val="0"/>
          <w:i w:val="0"/>
        </w:rPr>
        <w:t>Pour une filtration 𝔽, Real(𝔽) rassemble toutes ses réalisations à isomorphisme près. Les problèmes scientifiques deviennent : existence de minima, unicité ou multiplicité des minima, transformations entre réalisations, échanges alphabet–états–horizon–tables et information généalogique oubliée par 𝔽.</w:t>
      </w:r>
    </w:p>
    <w:p>
      <w:pPr>
        <w:pStyle w:val="Heading2"/>
        <w:keepNext/>
      </w:pPr>
      <w:r>
        <w:rPr>
          <w:b w:val="0"/>
          <w:i w:val="0"/>
        </w:rPr>
        <w:t>18.3 Trois fibres homologues</w:t>
      </w:r>
    </w:p>
    <w:tbl>
      <w:tblPr>
        <w:tblW w:type="auto" w:w="0"/>
        <w:jc w:val="center"/>
        <w:tblLook w:firstColumn="1" w:firstRow="1" w:lastColumn="0" w:lastRow="0" w:noHBand="0" w:noVBand="1" w:val="04A0"/>
      </w:tblPr>
      <w:tblGrid>
        <w:gridCol w:w="2455"/>
        <w:gridCol w:w="2455"/>
        <w:gridCol w:w="2455"/>
        <w:gridCol w:w="2455"/>
      </w:tblGrid>
      <w:tr>
        <w:trPr>
          <w:tblHeader w:val="true"/>
          <w:cantSplit/>
        </w:trPr>
        <w:tc>
          <w:tcPr>
            <w:tcW w:type="dxa" w:w="1800"/>
            <w:shd w:fill="DCE6F1"/>
            <w:tcMar>
              <w:top w:w="120" w:type="dxa"/>
              <w:start w:w="150" w:type="dxa"/>
              <w:bottom w:w="120" w:type="dxa"/>
              <w:end w:w="150" w:type="dxa"/>
            </w:tcMar>
            <w:vAlign w:val="center"/>
          </w:tcPr>
          <w:p>
            <w:pPr>
              <w:spacing w:after="40"/>
            </w:pPr>
            <w:r>
              <w:rPr>
                <w:b/>
              </w:rPr>
              <w:t>Couche</w:t>
            </w:r>
          </w:p>
        </w:tc>
        <w:tc>
          <w:tcPr>
            <w:tcW w:type="dxa" w:w="2304"/>
            <w:shd w:fill="DCE6F1"/>
            <w:tcMar>
              <w:top w:w="120" w:type="dxa"/>
              <w:start w:w="150" w:type="dxa"/>
              <w:bottom w:w="120" w:type="dxa"/>
              <w:end w:w="150" w:type="dxa"/>
            </w:tcMar>
            <w:vAlign w:val="center"/>
          </w:tcPr>
          <w:p>
            <w:pPr>
              <w:spacing w:after="40"/>
            </w:pPr>
            <w:r>
              <w:rPr>
                <w:b/>
              </w:rPr>
              <w:t>Comportement fixé</w:t>
            </w:r>
          </w:p>
        </w:tc>
        <w:tc>
          <w:tcPr>
            <w:tcW w:type="dxa" w:w="2592"/>
            <w:shd w:fill="DCE6F1"/>
            <w:tcMar>
              <w:top w:w="120" w:type="dxa"/>
              <w:start w:w="150" w:type="dxa"/>
              <w:bottom w:w="120" w:type="dxa"/>
              <w:end w:w="150" w:type="dxa"/>
            </w:tcMar>
            <w:vAlign w:val="center"/>
          </w:tcPr>
          <w:p>
            <w:pPr>
              <w:spacing w:after="40"/>
            </w:pPr>
            <w:r>
              <w:rPr>
                <w:b/>
              </w:rPr>
              <w:t>Fibre de réalisations</w:t>
            </w:r>
          </w:p>
        </w:tc>
        <w:tc>
          <w:tcPr>
            <w:tcW w:type="dxa" w:w="3312"/>
            <w:shd w:fill="DCE6F1"/>
            <w:tcMar>
              <w:top w:w="120" w:type="dxa"/>
              <w:start w:w="150" w:type="dxa"/>
              <w:bottom w:w="120" w:type="dxa"/>
              <w:end w:w="150" w:type="dxa"/>
            </w:tcMar>
            <w:vAlign w:val="center"/>
          </w:tcPr>
          <w:p>
            <w:pPr>
              <w:spacing w:after="40"/>
            </w:pPr>
            <w:r>
              <w:rPr>
                <w:b/>
              </w:rPr>
              <w:t>Question canonique</w:t>
            </w:r>
          </w:p>
        </w:tc>
      </w:tr>
      <w:tr>
        <w:trPr>
          <w:cantSplit/>
        </w:trPr>
        <w:tc>
          <w:tcPr>
            <w:tcW w:type="dxa" w:w="1800"/>
            <w:tcMar>
              <w:top w:w="120" w:type="dxa"/>
              <w:start w:w="150" w:type="dxa"/>
              <w:bottom w:w="120" w:type="dxa"/>
              <w:end w:w="150" w:type="dxa"/>
            </w:tcMar>
            <w:vAlign w:val="center"/>
          </w:tcPr>
          <w:p>
            <w:pPr>
              <w:spacing w:after="40"/>
            </w:pPr>
            <w:r>
              <w:t>Reconstruction</w:t>
            </w:r>
          </w:p>
        </w:tc>
        <w:tc>
          <w:tcPr>
            <w:tcW w:type="dxa" w:w="2304"/>
            <w:tcMar>
              <w:top w:w="120" w:type="dxa"/>
              <w:start w:w="150" w:type="dxa"/>
              <w:bottom w:w="120" w:type="dxa"/>
              <w:end w:w="150" w:type="dxa"/>
            </w:tcMar>
            <w:vAlign w:val="center"/>
          </w:tcPr>
          <w:p>
            <w:pPr>
              <w:spacing w:after="40"/>
            </w:pPr>
            <w:r>
              <w:t>Pouvoir de déterminer F</w:t>
            </w:r>
          </w:p>
        </w:tc>
        <w:tc>
          <w:tcPr>
            <w:tcW w:type="dxa" w:w="2592"/>
            <w:tcMar>
              <w:top w:w="120" w:type="dxa"/>
              <w:start w:w="150" w:type="dxa"/>
              <w:bottom w:w="120" w:type="dxa"/>
              <w:end w:w="150" w:type="dxa"/>
            </w:tcMar>
            <w:vAlign w:val="center"/>
          </w:tcPr>
          <w:p>
            <w:pPr>
              <w:spacing w:after="40"/>
            </w:pPr>
            <w:r>
              <w:t>Codes et partitions reconstructifs</w:t>
            </w:r>
          </w:p>
        </w:tc>
        <w:tc>
          <w:tcPr>
            <w:tcW w:type="dxa" w:w="3312"/>
            <w:tcMar>
              <w:top w:w="120" w:type="dxa"/>
              <w:start w:w="150" w:type="dxa"/>
              <w:bottom w:w="120" w:type="dxa"/>
              <w:end w:w="150" w:type="dxa"/>
            </w:tcMar>
            <w:vAlign w:val="center"/>
          </w:tcPr>
          <w:p>
            <w:pPr>
              <w:spacing w:after="40"/>
            </w:pPr>
            <w:r>
              <w:t>Existe-t-il un supplément minimal privilégié ?</w:t>
            </w:r>
          </w:p>
        </w:tc>
      </w:tr>
      <w:tr>
        <w:trPr>
          <w:cantSplit/>
        </w:trPr>
        <w:tc>
          <w:tcPr>
            <w:tcW w:type="dxa" w:w="1800"/>
            <w:tcMar>
              <w:top w:w="120" w:type="dxa"/>
              <w:start w:w="150" w:type="dxa"/>
              <w:bottom w:w="120" w:type="dxa"/>
              <w:end w:w="150" w:type="dxa"/>
            </w:tcMar>
            <w:vAlign w:val="center"/>
          </w:tcPr>
          <w:p>
            <w:pPr>
              <w:spacing w:after="40"/>
            </w:pPr>
            <w:r>
              <w:t>Restauration</w:t>
            </w:r>
          </w:p>
        </w:tc>
        <w:tc>
          <w:tcPr>
            <w:tcW w:type="dxa" w:w="2304"/>
            <w:tcMar>
              <w:top w:w="120" w:type="dxa"/>
              <w:start w:w="150" w:type="dxa"/>
              <w:bottom w:w="120" w:type="dxa"/>
              <w:end w:w="150" w:type="dxa"/>
            </w:tcMar>
            <w:vAlign w:val="center"/>
          </w:tcPr>
          <w:p>
            <w:pPr>
              <w:spacing w:after="40"/>
            </w:pPr>
            <w:r>
              <w:t>Filtration 𝒦^(t)</w:t>
            </w:r>
          </w:p>
        </w:tc>
        <w:tc>
          <w:tcPr>
            <w:tcW w:type="dxa" w:w="2592"/>
            <w:tcMar>
              <w:top w:w="120" w:type="dxa"/>
              <w:start w:w="150" w:type="dxa"/>
              <w:bottom w:w="120" w:type="dxa"/>
              <w:end w:w="150" w:type="dxa"/>
            </w:tcMar>
            <w:vAlign w:val="center"/>
          </w:tcPr>
          <w:p>
            <w:pPr>
              <w:spacing w:after="40"/>
            </w:pPr>
            <w:r>
              <w:t>Régimes d’actions et auxiliaires</w:t>
            </w:r>
          </w:p>
        </w:tc>
        <w:tc>
          <w:tcPr>
            <w:tcW w:type="dxa" w:w="3312"/>
            <w:tcMar>
              <w:top w:w="120" w:type="dxa"/>
              <w:start w:w="150" w:type="dxa"/>
              <w:bottom w:w="120" w:type="dxa"/>
              <w:end w:w="150" w:type="dxa"/>
            </w:tcMar>
            <w:vAlign w:val="center"/>
          </w:tcPr>
          <w:p>
            <w:pPr>
              <w:spacing w:after="40"/>
            </w:pPr>
            <w:r>
              <w:t>Existe-t-il une réalisation compacte privilégiée ?</w:t>
            </w:r>
          </w:p>
        </w:tc>
      </w:tr>
      <w:tr>
        <w:trPr>
          <w:cantSplit/>
        </w:trPr>
        <w:tc>
          <w:tcPr>
            <w:tcW w:type="dxa" w:w="1800"/>
            <w:tcMar>
              <w:top w:w="120" w:type="dxa"/>
              <w:start w:w="150" w:type="dxa"/>
              <w:bottom w:w="120" w:type="dxa"/>
              <w:end w:w="150" w:type="dxa"/>
            </w:tcMar>
            <w:vAlign w:val="center"/>
          </w:tcPr>
          <w:p>
            <w:pPr>
              <w:spacing w:after="40"/>
            </w:pPr>
            <w:r>
              <w:t>Provenance</w:t>
            </w:r>
          </w:p>
        </w:tc>
        <w:tc>
          <w:tcPr>
            <w:tcW w:type="dxa" w:w="2304"/>
            <w:tcMar>
              <w:top w:w="120" w:type="dxa"/>
              <w:start w:w="150" w:type="dxa"/>
              <w:bottom w:w="120" w:type="dxa"/>
              <w:end w:w="150" w:type="dxa"/>
            </w:tcMar>
            <w:vAlign w:val="center"/>
          </w:tcPr>
          <w:p>
            <w:pPr>
              <w:spacing w:after="40"/>
            </w:pPr>
            <w:r>
              <w:t>Flèche extensionnelle</w:t>
            </w:r>
          </w:p>
        </w:tc>
        <w:tc>
          <w:tcPr>
            <w:tcW w:type="dxa" w:w="2592"/>
            <w:tcMar>
              <w:top w:w="120" w:type="dxa"/>
              <w:start w:w="150" w:type="dxa"/>
              <w:bottom w:w="120" w:type="dxa"/>
              <w:end w:w="150" w:type="dxa"/>
            </w:tcMar>
            <w:vAlign w:val="center"/>
          </w:tcPr>
          <w:p>
            <w:pPr>
              <w:spacing w:after="40"/>
            </w:pPr>
            <w:r>
              <w:t>Histoires admissibles</w:t>
            </w:r>
          </w:p>
        </w:tc>
        <w:tc>
          <w:tcPr>
            <w:tcW w:type="dxa" w:w="3312"/>
            <w:tcMar>
              <w:top w:w="120" w:type="dxa"/>
              <w:start w:w="150" w:type="dxa"/>
              <w:bottom w:w="120" w:type="dxa"/>
              <w:end w:w="150" w:type="dxa"/>
            </w:tcMar>
            <w:vAlign w:val="center"/>
          </w:tcPr>
          <w:p>
            <w:pPr>
              <w:spacing w:after="40"/>
            </w:pPr>
            <w:r>
              <w:t>Existe-t-il un choix multiplicatif cohérent ?</w:t>
            </w:r>
          </w:p>
        </w:tc>
      </w:tr>
    </w:tbl>
    <w:p>
      <w:r>
        <w:rPr>
          <w:b w:val="0"/>
          <w:i w:val="0"/>
        </w:rPr>
        <w:t>La répétition de cette forme est le principe unificateur le plus fort du manuscrit : comportement fixé, réalisations multiples, minima possiblement incomparables et absence possible de choix canonique.</w:t>
      </w:r>
    </w:p>
    <w:p>
      <w:pPr>
        <w:pStyle w:val="Heading2"/>
        <w:keepNext/>
      </w:pPr>
      <w:r>
        <w:rPr>
          <w:b w:val="0"/>
          <w:i w:val="0"/>
        </w:rPr>
        <w:t>18.4 Résidus et partage de structure</w:t>
      </w:r>
    </w:p>
    <w:p>
      <w:r>
        <w:rPr>
          <w:b w:val="0"/>
          <w:i w:val="0"/>
        </w:rPr>
        <w:t>La construction par chaînes privées réalise les certificats sans partage. Une réalisation compacte doit fusionner les préfixes ou suffixes ayant les mêmes possibilités futures. Les résidus de réparation doivent fournir la borne d’états qui manque à la borne actuelle par nombre de mots. Cette direction relie la filtration à une théorie de synthèse et de minimisation plutôt qu’à la seule topologie persistante.</w:t>
      </w:r>
    </w:p>
    <w:p>
      <w:pPr>
        <w:pStyle w:val="Heading1"/>
        <w:keepNext/>
      </w:pPr>
      <w:r>
        <w:rPr>
          <w:b w:val="0"/>
          <w:i w:val="0"/>
        </w:rPr>
        <w:t>Chapitre 19 — Gouvernance de l’antériorité et thèse révisée</w:t>
      </w:r>
    </w:p>
    <w:p>
      <w:pPr>
        <w:pStyle w:val="Heading2"/>
        <w:keepNext/>
      </w:pPr>
      <w:r>
        <w:rPr>
          <w:b w:val="0"/>
          <w:i w:val="0"/>
        </w:rPr>
        <w:t>19.1 Le dossier PA</w:t>
      </w:r>
    </w:p>
    <w:p>
      <w:r>
        <w:rPr>
          <w:b w:val="0"/>
          <w:i w:val="0"/>
        </w:rPr>
        <w:t>L’antériorité est relative à un corpus, une date, un vocabulaire et un protocole. Elle n’est ni un booléen ni un invariant intrinsèque de l’énoncé. Chaque résultat reçoit un enregistrement révisable PA(T;𝒞,t,σ).</w:t>
      </w:r>
    </w:p>
    <w:tbl>
      <w:tblPr>
        <w:tblW w:type="auto" w:w="0"/>
        <w:jc w:val="center"/>
        <w:tblLook w:firstColumn="1" w:firstRow="1" w:lastColumn="0" w:lastRow="0" w:noHBand="0" w:noVBand="1" w:val="04A0"/>
      </w:tblPr>
      <w:tblGrid>
        <w:gridCol w:w="4910"/>
        <w:gridCol w:w="4910"/>
      </w:tblGrid>
      <w:tr>
        <w:trPr>
          <w:tblHeader w:val="true"/>
          <w:cantSplit/>
        </w:trPr>
        <w:tc>
          <w:tcPr>
            <w:tcW w:type="dxa" w:w="3024"/>
            <w:shd w:fill="DCE6F1"/>
            <w:tcMar>
              <w:top w:w="120" w:type="dxa"/>
              <w:start w:w="150" w:type="dxa"/>
              <w:bottom w:w="120" w:type="dxa"/>
              <w:end w:w="150" w:type="dxa"/>
            </w:tcMar>
            <w:vAlign w:val="center"/>
          </w:tcPr>
          <w:p>
            <w:pPr>
              <w:spacing w:after="40"/>
            </w:pPr>
            <w:r>
              <w:rPr>
                <w:b/>
              </w:rPr>
              <w:t>Champ minimal</w:t>
            </w:r>
          </w:p>
        </w:tc>
        <w:tc>
          <w:tcPr>
            <w:tcW w:type="dxa" w:w="7200"/>
            <w:shd w:fill="DCE6F1"/>
            <w:tcMar>
              <w:top w:w="120" w:type="dxa"/>
              <w:start w:w="150" w:type="dxa"/>
              <w:bottom w:w="120" w:type="dxa"/>
              <w:end w:w="150" w:type="dxa"/>
            </w:tcMar>
            <w:vAlign w:val="center"/>
          </w:tcPr>
          <w:p>
            <w:pPr>
              <w:spacing w:after="40"/>
            </w:pPr>
            <w:r>
              <w:rPr>
                <w:b/>
              </w:rPr>
              <w:t>Contenu</w:t>
            </w:r>
          </w:p>
        </w:tc>
      </w:tr>
      <w:tr>
        <w:trPr>
          <w:cantSplit/>
        </w:trPr>
        <w:tc>
          <w:tcPr>
            <w:tcW w:type="dxa" w:w="3024"/>
            <w:tcMar>
              <w:top w:w="120" w:type="dxa"/>
              <w:start w:w="150" w:type="dxa"/>
              <w:bottom w:w="120" w:type="dxa"/>
              <w:end w:w="150" w:type="dxa"/>
            </w:tcMar>
            <w:vAlign w:val="center"/>
          </w:tcPr>
          <w:p>
            <w:pPr>
              <w:spacing w:after="40"/>
            </w:pPr>
            <w:r>
              <w:t>PriorArtStatus</w:t>
            </w:r>
          </w:p>
        </w:tc>
        <w:tc>
          <w:tcPr>
            <w:tcW w:type="dxa" w:w="7200"/>
            <w:tcMar>
              <w:top w:w="120" w:type="dxa"/>
              <w:start w:w="150" w:type="dxa"/>
              <w:bottom w:w="120" w:type="dxa"/>
              <w:end w:w="150" w:type="dxa"/>
            </w:tcMar>
            <w:vAlign w:val="center"/>
          </w:tcPr>
          <w:p>
            <w:pPr>
              <w:spacing w:after="40"/>
            </w:pPr>
            <w:r>
              <w:t>Non recherché ; recherche initiale ; analogue proche ; cas connu ; réduction ; delta identifié ; indécidé</w:t>
            </w:r>
          </w:p>
        </w:tc>
      </w:tr>
      <w:tr>
        <w:trPr>
          <w:cantSplit/>
        </w:trPr>
        <w:tc>
          <w:tcPr>
            <w:tcW w:type="dxa" w:w="3024"/>
            <w:tcMar>
              <w:top w:w="120" w:type="dxa"/>
              <w:start w:w="150" w:type="dxa"/>
              <w:bottom w:w="120" w:type="dxa"/>
              <w:end w:w="150" w:type="dxa"/>
            </w:tcMar>
            <w:vAlign w:val="center"/>
          </w:tcPr>
          <w:p>
            <w:pPr>
              <w:spacing w:after="40"/>
            </w:pPr>
            <w:r>
              <w:t>NearestKnownResult</w:t>
            </w:r>
          </w:p>
        </w:tc>
        <w:tc>
          <w:tcPr>
            <w:tcW w:type="dxa" w:w="7200"/>
            <w:tcMar>
              <w:top w:w="120" w:type="dxa"/>
              <w:start w:w="150" w:type="dxa"/>
              <w:bottom w:w="120" w:type="dxa"/>
              <w:end w:w="150" w:type="dxa"/>
            </w:tcMar>
            <w:vAlign w:val="center"/>
          </w:tcPr>
          <w:p>
            <w:pPr>
              <w:spacing w:after="40"/>
            </w:pPr>
            <w:r>
              <w:t>Résultat ou famille de résultats la plus proche</w:t>
            </w:r>
          </w:p>
        </w:tc>
      </w:tr>
      <w:tr>
        <w:trPr>
          <w:cantSplit/>
        </w:trPr>
        <w:tc>
          <w:tcPr>
            <w:tcW w:type="dxa" w:w="3024"/>
            <w:tcMar>
              <w:top w:w="120" w:type="dxa"/>
              <w:start w:w="150" w:type="dxa"/>
              <w:bottom w:w="120" w:type="dxa"/>
              <w:end w:w="150" w:type="dxa"/>
            </w:tcMar>
            <w:vAlign w:val="center"/>
          </w:tcPr>
          <w:p>
            <w:pPr>
              <w:spacing w:after="40"/>
            </w:pPr>
            <w:r>
              <w:t>ExactOverlap</w:t>
            </w:r>
          </w:p>
        </w:tc>
        <w:tc>
          <w:tcPr>
            <w:tcW w:type="dxa" w:w="7200"/>
            <w:tcMar>
              <w:top w:w="120" w:type="dxa"/>
              <w:start w:w="150" w:type="dxa"/>
              <w:bottom w:w="120" w:type="dxa"/>
              <w:end w:w="150" w:type="dxa"/>
            </w:tcMar>
            <w:vAlign w:val="center"/>
          </w:tcPr>
          <w:p>
            <w:pPr>
              <w:spacing w:after="40"/>
            </w:pPr>
            <w:r>
              <w:t>Hypothèses, objet et conclusion effectivement couverts</w:t>
            </w:r>
          </w:p>
        </w:tc>
      </w:tr>
      <w:tr>
        <w:trPr>
          <w:cantSplit/>
        </w:trPr>
        <w:tc>
          <w:tcPr>
            <w:tcW w:type="dxa" w:w="3024"/>
            <w:tcMar>
              <w:top w:w="120" w:type="dxa"/>
              <w:start w:w="150" w:type="dxa"/>
              <w:bottom w:w="120" w:type="dxa"/>
              <w:end w:w="150" w:type="dxa"/>
            </w:tcMar>
            <w:vAlign w:val="center"/>
          </w:tcPr>
          <w:p>
            <w:pPr>
              <w:spacing w:after="40"/>
            </w:pPr>
            <w:r>
              <w:t>NoveltyDelta</w:t>
            </w:r>
          </w:p>
        </w:tc>
        <w:tc>
          <w:tcPr>
            <w:tcW w:type="dxa" w:w="7200"/>
            <w:tcMar>
              <w:top w:w="120" w:type="dxa"/>
              <w:start w:w="150" w:type="dxa"/>
              <w:bottom w:w="120" w:type="dxa"/>
              <w:end w:w="150" w:type="dxa"/>
            </w:tcMar>
            <w:vAlign w:val="center"/>
          </w:tcPr>
          <w:p>
            <w:pPr>
              <w:spacing w:after="40"/>
            </w:pPr>
            <w:r>
              <w:t>Différence résiduelle formulée sans sur-revendication</w:t>
            </w:r>
          </w:p>
        </w:tc>
      </w:tr>
      <w:tr>
        <w:trPr>
          <w:cantSplit/>
        </w:trPr>
        <w:tc>
          <w:tcPr>
            <w:tcW w:type="dxa" w:w="3024"/>
            <w:tcMar>
              <w:top w:w="120" w:type="dxa"/>
              <w:start w:w="150" w:type="dxa"/>
              <w:bottom w:w="120" w:type="dxa"/>
              <w:end w:w="150" w:type="dxa"/>
            </w:tcMar>
            <w:vAlign w:val="center"/>
          </w:tcPr>
          <w:p>
            <w:pPr>
              <w:spacing w:after="40"/>
            </w:pPr>
            <w:r>
              <w:t>SearchQueries / VocabularyMap</w:t>
            </w:r>
          </w:p>
        </w:tc>
        <w:tc>
          <w:tcPr>
            <w:tcW w:type="dxa" w:w="7200"/>
            <w:tcMar>
              <w:top w:w="120" w:type="dxa"/>
              <w:start w:w="150" w:type="dxa"/>
              <w:bottom w:w="120" w:type="dxa"/>
              <w:end w:w="150" w:type="dxa"/>
            </w:tcMar>
            <w:vAlign w:val="center"/>
          </w:tcPr>
          <w:p>
            <w:pPr>
              <w:spacing w:after="40"/>
            </w:pPr>
            <w:r>
              <w:t>Requêtes et traductions vers les domaines voisins</w:t>
            </w:r>
          </w:p>
        </w:tc>
      </w:tr>
      <w:tr>
        <w:trPr>
          <w:cantSplit/>
        </w:trPr>
        <w:tc>
          <w:tcPr>
            <w:tcW w:type="dxa" w:w="3024"/>
            <w:tcMar>
              <w:top w:w="120" w:type="dxa"/>
              <w:start w:w="150" w:type="dxa"/>
              <w:bottom w:w="120" w:type="dxa"/>
              <w:end w:w="150" w:type="dxa"/>
            </w:tcMar>
            <w:vAlign w:val="center"/>
          </w:tcPr>
          <w:p>
            <w:pPr>
              <w:spacing w:after="40"/>
            </w:pPr>
            <w:r>
              <w:t>SearchScope / SearchDate</w:t>
            </w:r>
          </w:p>
        </w:tc>
        <w:tc>
          <w:tcPr>
            <w:tcW w:type="dxa" w:w="7200"/>
            <w:tcMar>
              <w:top w:w="120" w:type="dxa"/>
              <w:start w:w="150" w:type="dxa"/>
              <w:bottom w:w="120" w:type="dxa"/>
              <w:end w:w="150" w:type="dxa"/>
            </w:tcMar>
            <w:vAlign w:val="center"/>
          </w:tcPr>
          <w:p>
            <w:pPr>
              <w:spacing w:after="40"/>
            </w:pPr>
            <w:r>
              <w:t>Corpus, domaines et date de l’audit</w:t>
            </w:r>
          </w:p>
        </w:tc>
      </w:tr>
      <w:tr>
        <w:trPr>
          <w:cantSplit/>
        </w:trPr>
        <w:tc>
          <w:tcPr>
            <w:tcW w:type="dxa" w:w="3024"/>
            <w:tcMar>
              <w:top w:w="120" w:type="dxa"/>
              <w:start w:w="150" w:type="dxa"/>
              <w:bottom w:w="120" w:type="dxa"/>
              <w:end w:w="150" w:type="dxa"/>
            </w:tcMar>
            <w:vAlign w:val="center"/>
          </w:tcPr>
          <w:p>
            <w:pPr>
              <w:spacing w:after="40"/>
            </w:pPr>
            <w:r>
              <w:t>UnresolvedRisks</w:t>
            </w:r>
          </w:p>
        </w:tc>
        <w:tc>
          <w:tcPr>
            <w:tcW w:type="dxa" w:w="7200"/>
            <w:tcMar>
              <w:top w:w="120" w:type="dxa"/>
              <w:start w:w="150" w:type="dxa"/>
              <w:bottom w:w="120" w:type="dxa"/>
              <w:end w:w="150" w:type="dxa"/>
            </w:tcMar>
            <w:vAlign w:val="center"/>
          </w:tcPr>
          <w:p>
            <w:pPr>
              <w:spacing w:after="40"/>
            </w:pPr>
            <w:r>
              <w:t>Pistes non vérifiées ou équivalences encore possibles</w:t>
            </w:r>
          </w:p>
        </w:tc>
      </w:tr>
    </w:tbl>
    <w:p>
      <w:pPr>
        <w:pStyle w:val="Heading2"/>
        <w:keepNext/>
      </w:pPr>
      <w:r>
        <w:rPr>
          <w:b w:val="0"/>
          <w:i w:val="0"/>
        </w:rPr>
        <w:t>19.2 Hiérarchie des titres de contribution</w:t>
      </w:r>
    </w:p>
    <w:tbl>
      <w:tblPr>
        <w:tblW w:type="auto" w:w="0"/>
        <w:jc w:val="center"/>
        <w:tblLook w:firstColumn="1" w:firstRow="1" w:lastColumn="0" w:lastRow="0" w:noHBand="0" w:noVBand="1" w:val="04A0"/>
      </w:tblPr>
      <w:tblGrid>
        <w:gridCol w:w="4910"/>
        <w:gridCol w:w="4910"/>
      </w:tblGrid>
      <w:tr>
        <w:trPr>
          <w:tblHeader w:val="true"/>
          <w:cantSplit/>
        </w:trPr>
        <w:tc>
          <w:tcPr>
            <w:tcW w:type="dxa" w:w="2160"/>
            <w:shd w:fill="DCE6F1"/>
            <w:tcMar>
              <w:top w:w="120" w:type="dxa"/>
              <w:start w:w="150" w:type="dxa"/>
              <w:bottom w:w="120" w:type="dxa"/>
              <w:end w:w="150" w:type="dxa"/>
            </w:tcMar>
            <w:vAlign w:val="center"/>
          </w:tcPr>
          <w:p>
            <w:pPr>
              <w:spacing w:after="40"/>
            </w:pPr>
            <w:r>
              <w:rPr>
                <w:b/>
              </w:rPr>
              <w:t>Titre</w:t>
            </w:r>
          </w:p>
        </w:tc>
        <w:tc>
          <w:tcPr>
            <w:tcW w:type="dxa" w:w="8064"/>
            <w:shd w:fill="DCE6F1"/>
            <w:tcMar>
              <w:top w:w="120" w:type="dxa"/>
              <w:start w:w="150" w:type="dxa"/>
              <w:bottom w:w="120" w:type="dxa"/>
              <w:end w:w="150" w:type="dxa"/>
            </w:tcMar>
            <w:vAlign w:val="center"/>
          </w:tcPr>
          <w:p>
            <w:pPr>
              <w:spacing w:after="40"/>
            </w:pPr>
            <w:r>
              <w:rPr>
                <w:b/>
              </w:rPr>
              <w:t>Critère</w:t>
            </w:r>
          </w:p>
        </w:tc>
      </w:tr>
      <w:tr>
        <w:trPr>
          <w:cantSplit/>
        </w:trPr>
        <w:tc>
          <w:tcPr>
            <w:tcW w:type="dxa" w:w="2160"/>
            <w:tcMar>
              <w:top w:w="120" w:type="dxa"/>
              <w:start w:w="150" w:type="dxa"/>
              <w:bottom w:w="120" w:type="dxa"/>
              <w:end w:w="150" w:type="dxa"/>
            </w:tcMar>
            <w:vAlign w:val="center"/>
          </w:tcPr>
          <w:p>
            <w:pPr>
              <w:spacing w:after="40"/>
            </w:pPr>
            <w:r>
              <w:t>Fondation</w:t>
            </w:r>
          </w:p>
        </w:tc>
        <w:tc>
          <w:tcPr>
            <w:tcW w:type="dxa" w:w="8064"/>
            <w:tcMar>
              <w:top w:w="120" w:type="dxa"/>
              <w:start w:w="150" w:type="dxa"/>
              <w:bottom w:w="120" w:type="dxa"/>
              <w:end w:w="150" w:type="dxa"/>
            </w:tcMar>
            <w:vAlign w:val="center"/>
          </w:tcPr>
          <w:p>
            <w:pPr>
              <w:spacing w:after="40"/>
            </w:pPr>
            <w:r>
              <w:t>Exposition rigoureuse d’un socle classique nécessaire à la suite.</w:t>
            </w:r>
          </w:p>
        </w:tc>
      </w:tr>
      <w:tr>
        <w:trPr>
          <w:cantSplit/>
        </w:trPr>
        <w:tc>
          <w:tcPr>
            <w:tcW w:type="dxa" w:w="2160"/>
            <w:tcMar>
              <w:top w:w="120" w:type="dxa"/>
              <w:start w:w="150" w:type="dxa"/>
              <w:bottom w:w="120" w:type="dxa"/>
              <w:end w:w="150" w:type="dxa"/>
            </w:tcMar>
            <w:vAlign w:val="center"/>
          </w:tcPr>
          <w:p>
            <w:pPr>
              <w:spacing w:after="40"/>
            </w:pPr>
            <w:r>
              <w:t>Traduction</w:t>
            </w:r>
          </w:p>
        </w:tc>
        <w:tc>
          <w:tcPr>
            <w:tcW w:type="dxa" w:w="8064"/>
            <w:tcMar>
              <w:top w:w="120" w:type="dxa"/>
              <w:start w:w="150" w:type="dxa"/>
              <w:bottom w:w="120" w:type="dxa"/>
              <w:end w:w="150" w:type="dxa"/>
            </w:tcMar>
            <w:vAlign w:val="center"/>
          </w:tcPr>
          <w:p>
            <w:pPr>
              <w:spacing w:after="40"/>
            </w:pPr>
            <w:r>
              <w:t>Équivalence explicite entre deux cadres ou vocabulaires.</w:t>
            </w:r>
          </w:p>
        </w:tc>
      </w:tr>
      <w:tr>
        <w:trPr>
          <w:cantSplit/>
        </w:trPr>
        <w:tc>
          <w:tcPr>
            <w:tcW w:type="dxa" w:w="2160"/>
            <w:tcMar>
              <w:top w:w="120" w:type="dxa"/>
              <w:start w:w="150" w:type="dxa"/>
              <w:bottom w:w="120" w:type="dxa"/>
              <w:end w:w="150" w:type="dxa"/>
            </w:tcMar>
            <w:vAlign w:val="center"/>
          </w:tcPr>
          <w:p>
            <w:pPr>
              <w:spacing w:after="40"/>
            </w:pPr>
            <w:r>
              <w:t>Structure</w:t>
            </w:r>
          </w:p>
        </w:tc>
        <w:tc>
          <w:tcPr>
            <w:tcW w:type="dxa" w:w="8064"/>
            <w:tcMar>
              <w:top w:w="120" w:type="dxa"/>
              <w:start w:w="150" w:type="dxa"/>
              <w:bottom w:w="120" w:type="dxa"/>
              <w:end w:w="150" w:type="dxa"/>
            </w:tcMar>
            <w:vAlign w:val="center"/>
          </w:tcPr>
          <w:p>
            <w:pPr>
              <w:spacing w:after="40"/>
            </w:pPr>
            <w:r>
              <w:t>Nouvel objet ou invariant permettant de poser un problème auparavant invisible.</w:t>
            </w:r>
          </w:p>
        </w:tc>
      </w:tr>
      <w:tr>
        <w:trPr>
          <w:cantSplit/>
        </w:trPr>
        <w:tc>
          <w:tcPr>
            <w:tcW w:type="dxa" w:w="2160"/>
            <w:tcMar>
              <w:top w:w="120" w:type="dxa"/>
              <w:start w:w="150" w:type="dxa"/>
              <w:bottom w:w="120" w:type="dxa"/>
              <w:end w:w="150" w:type="dxa"/>
            </w:tcMar>
            <w:vAlign w:val="center"/>
          </w:tcPr>
          <w:p>
            <w:pPr>
              <w:spacing w:after="40"/>
            </w:pPr>
            <w:r>
              <w:t>Théorème</w:t>
            </w:r>
          </w:p>
        </w:tc>
        <w:tc>
          <w:tcPr>
            <w:tcW w:type="dxa" w:w="8064"/>
            <w:tcMar>
              <w:top w:w="120" w:type="dxa"/>
              <w:start w:w="150" w:type="dxa"/>
              <w:bottom w:w="120" w:type="dxa"/>
              <w:end w:w="150" w:type="dxa"/>
            </w:tcMar>
            <w:vAlign w:val="center"/>
          </w:tcPr>
          <w:p>
            <w:pPr>
              <w:spacing w:after="40"/>
            </w:pPr>
            <w:r>
              <w:t>Énoncé dont le recouvrement et le delta bibliographiques ont été explicitement établis.</w:t>
            </w:r>
          </w:p>
        </w:tc>
      </w:tr>
    </w:tbl>
    <w:p>
      <w:pPr>
        <w:pStyle w:val="Heading2"/>
        <w:keepNext/>
      </w:pPr>
      <w:r>
        <w:rPr>
          <w:b w:val="0"/>
          <w:i w:val="0"/>
        </w:rPr>
        <w:t>19.3 Centre doctoral révisé</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DCE6F1"/>
            <w:vAlign w:val="center"/>
          </w:tcPr>
          <w:p>
            <w:pPr>
              <w:spacing w:after="40"/>
            </w:pPr>
            <w:r/>
            <w:r>
              <w:rPr>
                <w:b/>
              </w:rPr>
              <w:t>Thèse directrice v0.13-A</w:t>
            </w:r>
          </w:p>
          <w:p>
            <w:pPr>
              <w:spacing w:before="60" w:after="40"/>
            </w:pPr>
            <w:r>
              <w:t>Étudier les fibres de réalisation d’un comportement informationnel, opératoire ou généalogique : leur existence, leur ordre, leurs profils minimaux, leur pluralité et l’impossibilité éventuelle d’en choisir un élément canoniquement.</w:t>
            </w:r>
          </w:p>
        </w:tc>
      </w:tr>
    </w:tbl>
    <w:p>
      <w:r>
        <w:rPr>
          <w:b w:val="0"/>
          <w:i w:val="0"/>
        </w:rPr>
        <w:t>Cette formulation ne prétend pas que tout résultat associé est inédit. Elle définit le problème commun dont les trois couches sont des instances et indique où l’audit bibliographique doit chercher un delta propre.</w:t>
      </w:r>
    </w:p>
    <w:p>
      <w:pPr>
        <w:pStyle w:val="Heading2"/>
        <w:keepNext/>
      </w:pPr>
      <w:r>
        <w:rPr>
          <w:b w:val="0"/>
          <w:i w:val="0"/>
        </w:rPr>
        <w:t>19.4 Programme d’exécution immédiat</w:t>
      </w:r>
    </w:p>
    <w:p>
      <w:r>
        <w:rPr>
          <w:b w:val="0"/>
          <w:i w:val="0"/>
        </w:rPr>
        <w:t>1. Achever la matrice PA de la Partie I et du coût one-shot avec information latérale.</w:t>
      </w:r>
    </w:p>
    <w:p>
      <w:r>
        <w:rPr>
          <w:b w:val="0"/>
          <w:i w:val="0"/>
        </w:rPr>
        <w:t>2. Formaliser PROP-GRAPH et THM-D5, puis construire des contre-exemples séparant cardinal, comportement et résidu.</w:t>
      </w:r>
    </w:p>
    <w:p>
      <w:r>
        <w:rPr>
          <w:b w:val="0"/>
          <w:i w:val="0"/>
        </w:rPr>
        <w:t>3. Définir les morphismes et l’ordre dans Real(𝔽), ainsi que le profil CompDyn complet.</w:t>
      </w:r>
    </w:p>
    <w:p>
      <w:r>
        <w:rPr>
          <w:b w:val="0"/>
          <w:i w:val="0"/>
        </w:rPr>
        <w:t>4. Rechercher une borne d’états par résidus de réparation et comparer arbres privés, DAG partagés et automates minimaux.</w:t>
      </w:r>
    </w:p>
    <w:p>
      <w:r>
        <w:rPr>
          <w:b w:val="0"/>
          <w:i w:val="0"/>
        </w:rPr>
        <w:t>5. Définir les événements de R1 ; tester l’unicité élémentaire ; maintenir R1-3 conditionnel jusqu’au certificat.</w:t>
      </w:r>
    </w:p>
    <w:p>
      <w:r>
        <w:rPr>
          <w:b w:val="0"/>
          <w:i w:val="0"/>
        </w:rPr>
        <w:t>6. Réécrire les introductions d’articles en déclarant le titre exact de chaque contribution.</w:t>
      </w:r>
    </w:p>
    <w:p>
      <w:pPr>
        <w:pStyle w:val="Heading1"/>
        <w:keepNext/>
      </w:pPr>
      <w:r>
        <w:t>Conclusion générale provisoire</w:t>
      </w:r>
    </w:p>
    <w:p>
      <w:pPr>
        <w:keepNext w:val="0"/>
      </w:pPr>
      <w:r>
        <w:rPr>
          <w:rFonts w:ascii="Liberation Serif" w:hAnsi="Liberation Serif" w:eastAsia="Liberation Serif"/>
          <w:b w:val="0"/>
          <w:i w:val="0"/>
        </w:rPr>
        <w:t>La théorie part d’une question statique : quelles distinctions supplémentaires faut-il conserver pour reconstruire une cible après une compression ? La v0.13-A montre que son cadre fini possède une forme normale graphique classique. L’ordre des noyaux, les partitions et le coût cardinal demeurent le socle démonstratif, mais ils ne portent plus par défaut le titre d’originalité.</w:t>
      </w:r>
    </w:p>
    <w:p>
      <w:pPr>
        <w:keepNext w:val="0"/>
      </w:pPr>
      <w:r>
        <w:rPr>
          <w:rFonts w:ascii="Liberation Serif" w:hAnsi="Liberation Serif" w:eastAsia="Liberation Serif"/>
          <w:b w:val="0"/>
          <w:i w:val="0"/>
        </w:rPr>
        <w:t>THM-D4 marque la frontière du post-traitement : une distinction absente de l’information présente ne revient pas par calcul. THM-D5 affine cette frontière pour un code concret : le coût de réouverture dépend des cellules qu’il a réellement conservées, et non de son seul cardinal. Archives récupérables, nouvelles mesures et actions robustes appartiennent à d’autres chaînes de reprise.</w:t>
      </w:r>
    </w:p>
    <w:p>
      <w:pPr>
        <w:keepNext w:val="0"/>
      </w:pPr>
      <w:r>
        <w:t>R2-bis et la filtration 𝒦^(t) organisent la moitié dynamique. UReach possède la sémantique d’un plan conforme, mais la filtration globale et sa fibre de réalisations ouvrent un problème différent : déterminer les mécanismes minimaux capables de produire le même comportement borné. THM-B-FILT rend la réalisabilité brute universelle ; CompDyn et les résidus déplacent l’enjeu vers la réalisation compacte et le partage de structure.</w:t>
      </w:r>
    </w:p>
    <w:p>
      <w:pPr>
        <w:keepNext w:val="0"/>
      </w:pPr>
      <w:r>
        <w:t>La provenance forme une troisième fibre de réalisation. Une flèche extensionnelle peut posséder plusieurs histoires valides et minimales ; A5-min n’en sélectionne pas une. R1-3 reste un théorème conditionnel tant que l’unicité élémentaire n’est pas démontrée. La conclusion commune aux trois couches est alors précise : l’extensionnel ne détermine pas nécessairement son mécanisme de production, son coût minimal ni une origine canonique.</w:t>
      </w:r>
    </w:p>
    <w:tbl>
      <w:tblPr>
        <w:tblW w:type="auto" w:w="0"/>
        <w:jc w:val="center"/>
        <w:tblLayout w:type="autofit"/>
        <w:tblLook w:firstColumn="1" w:firstRow="1" w:lastColumn="0" w:lastRow="0" w:noHBand="0" w:noVBand="1" w:val="04A0"/>
      </w:tblPr>
      <w:tblGrid>
        <w:gridCol w:w="9821"/>
      </w:tblGrid>
      <w:tr>
        <w:trPr>
          <w:cantSplit/>
        </w:trPr>
        <w:tc>
          <w:tcPr>
            <w:tcW w:type="dxa" w:w="9821"/>
            <w:shd w:fill="EAF2F2"/>
            <w:tcBorders>
              <w:top w:val="single" w:sz="4" w:color="D6E3E3"/>
              <w:left w:val="single" w:sz="20" w:color="2E5D62"/>
              <w:bottom w:val="single" w:sz="4" w:color="D6E3E3"/>
              <w:right w:val="single" w:sz="4" w:color="D6E3E3"/>
            </w:tcBorders>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243436"/>
                <w:sz w:val="22"/>
              </w:rPr>
              <w:t>La reconstruction qualifie le savoir ; la restauration qualifie le pouvoir ; la provenance qualifie le chemin.</w:t>
            </w:r>
          </w:p>
        </w:tc>
      </w:tr>
    </w:tbl>
    <w:p>
      <w:pPr>
        <w:spacing w:after="0"/>
      </w:pPr>
    </w:p>
    <w:p>
      <w:r>
        <w:br w:type="page"/>
      </w:r>
    </w:p>
    <w:p>
      <w:r>
        <w:rPr>
          <w:b w:val="0"/>
          <w:i w:val="0"/>
        </w:rPr>
        <w:t>Le centre doctoral se déplace donc de la simple reconstruction vers l’étude des fibres de réalisation. Cette étude articule la vérité interne des théorèmes, la matérialité de leurs artefacts et la provenance historique de leurs titres sans permettre à l’une de se substituer aux autres.</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DCE6F1"/>
            <w:vAlign w:val="center"/>
          </w:tcPr>
          <w:p>
            <w:pPr>
              <w:spacing w:after="40"/>
            </w:pPr>
            <w:r/>
            <w:r>
              <w:rPr>
                <w:b/>
              </w:rPr>
              <w:t>Principe final de la v0.13-A</w:t>
            </w:r>
          </w:p>
          <w:p>
            <w:pPr>
              <w:spacing w:before="60" w:after="40"/>
            </w:pPr>
            <w:r>
              <w:t>La vérité formelle et la nouveauté historique exigent deux chaînes de justification distinctes ; le comportement et son mécanisme exigent deux objets distincts.</w:t>
            </w:r>
          </w:p>
        </w:tc>
      </w:tr>
    </w:tbl>
    <w:p>
      <w:pPr>
        <w:keepLines/>
        <w:spacing w:before="1720"/>
        <w:jc w:val="center"/>
      </w:pPr>
      <w:r>
        <w:rPr>
          <w:rFonts w:ascii="Liberation Sans" w:hAnsi="Liberation Sans" w:eastAsia="Liberation Sans"/>
          <w:b/>
          <w:i w:val="0"/>
          <w:color w:val="2E5D62"/>
          <w:sz w:val="24"/>
        </w:rPr>
        <w:t>PARTIE ANNEXES</w:t>
      </w:r>
    </w:p>
    <w:p>
      <w:pPr>
        <w:keepLines/>
        <w:jc w:val="center"/>
      </w:pPr>
      <w:r>
        <w:rPr>
          <w:rFonts w:ascii="Liberation Sans" w:hAnsi="Liberation Sans" w:eastAsia="Liberation Sans"/>
          <w:b/>
          <w:i w:val="0"/>
          <w:color w:val="243436"/>
          <w:sz w:val="44"/>
        </w:rPr>
        <w:t>REGISTRE, NOTATIONS ET ARTEFACTS</w:t>
      </w:r>
    </w:p>
    <w:p>
      <w:pPr>
        <w:keepLines/>
        <w:jc w:val="center"/>
      </w:pPr>
      <w:r>
        <w:rPr>
          <w:rFonts w:ascii="Liberation Serif" w:hAnsi="Liberation Serif" w:eastAsia="Liberation Serif"/>
          <w:b w:val="0"/>
          <w:i w:val="0"/>
          <w:color w:val="6B6F72"/>
          <w:sz w:val="23"/>
        </w:rPr>
        <w:t>État des résultats, décisions et preuves reproductibles</w:t>
      </w:r>
    </w:p>
    <w:p>
      <w:pPr>
        <w:keepLines/>
        <w:spacing w:before="520"/>
        <w:jc w:val="center"/>
      </w:pPr>
      <w:r>
        <w:rPr>
          <w:rFonts w:ascii="Liberation Sans" w:hAnsi="Liberation Sans" w:eastAsia="Liberation Sans"/>
          <w:b/>
          <w:i w:val="0"/>
          <w:color w:val="7A4E2D"/>
          <w:sz w:val="20"/>
        </w:rPr>
        <w:t>énoncé  →  hypothèses  →  preuve  →  artefact  →  statut</w:t>
      </w:r>
    </w:p>
    <w:p>
      <w:r>
        <w:br w:type="page"/>
      </w:r>
    </w:p>
    <w:p>
      <w:pPr>
        <w:pStyle w:val="Heading1"/>
        <w:keepNext/>
      </w:pPr>
      <w:r>
        <w:t>Annexe A — Registre synthétique des statuts</w:t>
      </w:r>
    </w:p>
    <w:tbl>
      <w:tblPr>
        <w:tblW w:type="auto" w:w="0"/>
        <w:jc w:val="center"/>
        <w:tblLayout w:type="fixed"/>
        <w:tblLook w:firstColumn="1" w:firstRow="1" w:lastColumn="0" w:lastRow="0" w:noHBand="0" w:noVBand="1" w:val="04A0"/>
      </w:tblPr>
      <w:tblGrid>
        <w:gridCol w:w="2455"/>
        <w:gridCol w:w="2455"/>
        <w:gridCol w:w="2455"/>
        <w:gridCol w:w="2455"/>
      </w:tblGrid>
      <w:tr>
        <w:trPr>
          <w:tblHeader w:val="true"/>
          <w:cantSplit/>
          <w:tblHeader w:val="true"/>
        </w:trPr>
        <w:tc>
          <w:tcPr>
            <w:tcW w:type="dxa" w:w="108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Identifiant</w:t>
            </w:r>
          </w:p>
        </w:tc>
        <w:tc>
          <w:tcPr>
            <w:tcW w:type="dxa" w:w="2628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Énoncé</w:t>
            </w:r>
          </w:p>
        </w:tc>
        <w:tc>
          <w:tcPr>
            <w:tcW w:type="dxa" w:w="108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Statut</w:t>
            </w:r>
          </w:p>
        </w:tc>
        <w:tc>
          <w:tcPr>
            <w:tcW w:type="dxa" w:w="1512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Action</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THM-F0</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Critère fondamental de reconstruction</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w:t>
            </w:r>
          </w:p>
        </w:tc>
        <w:tc>
          <w:tcPr>
            <w:tcW w:type="dxa" w:w="1512000"/>
            <w:tcMar>
              <w:top w:w="120" w:type="dxa"/>
              <w:start w:w="150" w:type="dxa"/>
              <w:bottom w:w="120" w:type="dxa"/>
              <w:end w:w="150" w:type="dxa"/>
              <w:left w:w="100" w:type="dxa"/>
              <w:right w:w="100" w:type="dxa"/>
            </w:tcMar>
            <w:vAlign w:val="center"/>
          </w:tcPr>
          <w:p>
            <w:pPr>
              <w:spacing w:after="40"/>
            </w:pPr>
            <w:r>
              <w:t>Fondation classique ; dossier PA à documenter</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THM-L1</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Anti-isomorphisme schémas/noyaux</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w:t>
            </w:r>
          </w:p>
        </w:tc>
        <w:tc>
          <w:tcPr>
            <w:tcW w:type="dxa" w:w="1512000"/>
            <w:tcMar>
              <w:top w:w="120" w:type="dxa"/>
              <w:start w:w="150" w:type="dxa"/>
              <w:bottom w:w="120" w:type="dxa"/>
              <w:end w:w="150" w:type="dxa"/>
              <w:left w:w="100" w:type="dxa"/>
              <w:right w:w="100" w:type="dxa"/>
            </w:tcMar>
            <w:vAlign w:val="center"/>
          </w:tcPr>
          <w:p>
            <w:pPr>
              <w:spacing w:after="40"/>
            </w:pPr>
            <w:r>
              <w:t>Infrastructure classique probable ; delta du sous-poset à auditer</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THM-L7</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Dichotomie de canonicité</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Stable ; audit humain final</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THM-L9-FIN</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Coût cardinal optimal</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spacing w:after="40"/>
            </w:pPr>
            <w:r>
              <w:t>Équivalent au nombre chromatique de Γ_{π,F}</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PROP-L8</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Le cardinal ne sélectionne pas</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Stable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THM-L2</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Intervalle des traces</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Stable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THM-S4/S5/S6</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Spectre et présentations optimales</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Stable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THM-S8</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Non-canonicité équivariante E4</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[D]+[M]</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Corrigé : transitive, non libre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THM-D1</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Seuil de suffisance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Stable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THM-D2</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Conservation comportementale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Stable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THM-D3a</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Sûreté budgétaire abstraite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Stable ; converse faux</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THM-D3b</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Prix futur localisé</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spacing w:after="40"/>
            </w:pPr>
            <w:r>
              <w:t>Prix de recodage global ; ne pas confondre avec THM-D5</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THM-D4</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Irrécupérabilité par post-traitement</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Stable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THM-RC</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Réduction du budget courant</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 fini]</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Ratifié par NDA</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R2-bis P</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¬Rec avec UReach</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[D]+[M]</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Nouveau ; à ratifier humainement</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R2-bis N</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Reach pointwise sans UReach</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[D]+[M]</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Nouveau ; à ratifier humainement</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Tour U_J/U_O</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Architecture des oublis</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Ratifiée ; spécification à écrire</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Monoïde de traces</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Support des journaux</w:t>
            </w:r>
          </w:p>
        </w:tc>
        <w:tc>
          <w:tcPr>
            <w:tcW w:type="dxa" w:w="1080000"/>
            <w:tcMar>
              <w:top w:w="120" w:type="dxa"/>
              <w:start w:w="150" w:type="dxa"/>
              <w:bottom w:w="120" w:type="dxa"/>
              <w:end w:w="150" w:type="dxa"/>
              <w:left w:w="100" w:type="dxa"/>
              <w:right w:w="100" w:type="dxa"/>
            </w:tcMar>
            <w:vAlign w:val="center"/>
          </w:tcPr>
          <w:p>
            <w:pPr>
              <w:spacing w:after="40" w:line="252" w:lineRule="auto"/>
            </w:pPr>
            <w:r>
              <w:t>[T/R]</w:t>
            </w:r>
          </w:p>
        </w:tc>
        <w:tc>
          <w:tcPr>
            <w:tcW w:type="dxa" w:w="1512000"/>
            <w:tcMar>
              <w:top w:w="120" w:type="dxa"/>
              <w:start w:w="150" w:type="dxa"/>
              <w:bottom w:w="120" w:type="dxa"/>
              <w:end w:w="150" w:type="dxa"/>
              <w:left w:w="100" w:type="dxa"/>
              <w:right w:w="100" w:type="dxa"/>
            </w:tcMar>
            <w:vAlign w:val="center"/>
          </w:tcPr>
          <w:p>
            <w:pPr>
              <w:spacing w:after="40" w:line="252" w:lineRule="auto"/>
            </w:pPr>
            <w:r>
              <w:t>Support retenu ; Σ et I à geler</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A5-sound/complete/min</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Validité des histoires</w:t>
            </w:r>
          </w:p>
        </w:tc>
        <w:tc>
          <w:tcPr>
            <w:tcW w:type="dxa" w:w="1080000"/>
            <w:tcMar>
              <w:top w:w="120" w:type="dxa"/>
              <w:start w:w="150" w:type="dxa"/>
              <w:bottom w:w="120" w:type="dxa"/>
              <w:end w:w="150" w:type="dxa"/>
              <w:left w:w="100" w:type="dxa"/>
              <w:right w:w="100" w:type="dxa"/>
            </w:tcMar>
            <w:vAlign w:val="center"/>
          </w:tcPr>
          <w:p>
            <w:pPr>
              <w:spacing w:after="40" w:line="252" w:lineRule="auto"/>
            </w:pPr>
            <w:r>
              <w:t>[R/F]</w:t>
            </w:r>
          </w:p>
        </w:tc>
        <w:tc>
          <w:tcPr>
            <w:tcW w:type="dxa" w:w="1512000"/>
            <w:tcMar>
              <w:top w:w="120" w:type="dxa"/>
              <w:start w:w="150" w:type="dxa"/>
              <w:bottom w:w="120" w:type="dxa"/>
              <w:end w:w="150" w:type="dxa"/>
              <w:left w:w="100" w:type="dxa"/>
              <w:right w:w="100" w:type="dxa"/>
            </w:tcMar>
            <w:vAlign w:val="center"/>
          </w:tcPr>
          <w:p>
            <w:pPr>
              <w:spacing w:after="40" w:line="252" w:lineRule="auto"/>
            </w:pPr>
            <w:r>
              <w:t>Sémantique élémentaire à vérifier</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R1-2</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Multiplicité d’histoires</w:t>
            </w:r>
          </w:p>
        </w:tc>
        <w:tc>
          <w:tcPr>
            <w:tcW w:type="dxa" w:w="1080000"/>
            <w:tcMar>
              <w:top w:w="120" w:type="dxa"/>
              <w:start w:w="150" w:type="dxa"/>
              <w:bottom w:w="120" w:type="dxa"/>
              <w:end w:w="150" w:type="dxa"/>
              <w:left w:w="100" w:type="dxa"/>
              <w:right w:w="100" w:type="dxa"/>
            </w:tcMar>
            <w:vAlign w:val="center"/>
          </w:tcPr>
          <w:p>
            <w:pPr>
              <w:spacing w:after="40" w:line="252" w:lineRule="auto"/>
            </w:pPr>
            <w:r>
              <w:t>[D relatif]</w:t>
            </w:r>
          </w:p>
        </w:tc>
        <w:tc>
          <w:tcPr>
            <w:tcW w:type="dxa" w:w="1512000"/>
            <w:tcMar>
              <w:top w:w="120" w:type="dxa"/>
              <w:start w:w="150" w:type="dxa"/>
              <w:bottom w:w="120" w:type="dxa"/>
              <w:end w:w="150" w:type="dxa"/>
              <w:left w:w="100" w:type="dxa"/>
              <w:right w:w="100" w:type="dxa"/>
            </w:tcMar>
            <w:vAlign w:val="center"/>
          </w:tcPr>
          <w:p>
            <w:pPr>
              <w:spacing w:after="40" w:line="252" w:lineRule="auto"/>
            </w:pPr>
            <w:r>
              <w:t>Stable modulo Σ,I</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R1-3</w:t>
            </w:r>
          </w:p>
        </w:tc>
        <w:tc>
          <w:tcPr>
            <w:tcW w:type="dxa" w:w="2628000"/>
            <w:tcMar>
              <w:top w:w="120" w:type="dxa"/>
              <w:start w:w="150" w:type="dxa"/>
              <w:bottom w:w="120" w:type="dxa"/>
              <w:end w:w="150" w:type="dxa"/>
              <w:left w:w="100" w:type="dxa"/>
              <w:right w:w="100" w:type="dxa"/>
            </w:tcMar>
            <w:vAlign w:val="center"/>
          </w:tcPr>
          <w:p>
            <w:pPr>
              <w:spacing w:after="40" w:line="252" w:lineRule="auto"/>
            </w:pPr>
            <w:r>
              <w:t>Absence de section par rigidité élémentaire</w:t>
            </w:r>
          </w:p>
        </w:tc>
        <w:tc>
          <w:tcPr>
            <w:tcW w:type="dxa" w:w="1080000"/>
            <w:tcMar>
              <w:top w:w="120" w:type="dxa"/>
              <w:start w:w="150" w:type="dxa"/>
              <w:bottom w:w="120" w:type="dxa"/>
              <w:end w:w="150" w:type="dxa"/>
              <w:left w:w="100" w:type="dxa"/>
              <w:right w:w="100" w:type="dxa"/>
            </w:tcMar>
            <w:vAlign w:val="center"/>
          </w:tcPr>
          <w:p>
            <w:pPr>
              <w:spacing w:after="40"/>
            </w:pPr>
            <w:r>
              <w:t>[D sous hypothèses]</w:t>
            </w:r>
          </w:p>
        </w:tc>
        <w:tc>
          <w:tcPr>
            <w:tcW w:type="dxa" w:w="1512000"/>
            <w:tcMar>
              <w:top w:w="120" w:type="dxa"/>
              <w:start w:w="150" w:type="dxa"/>
              <w:bottom w:w="120" w:type="dxa"/>
              <w:end w:w="150" w:type="dxa"/>
              <w:left w:w="100" w:type="dxa"/>
              <w:right w:w="100" w:type="dxa"/>
            </w:tcMar>
            <w:vAlign w:val="center"/>
          </w:tcPr>
          <w:p>
            <w:pPr>
              <w:spacing w:after="40"/>
            </w:pPr>
            <w:r>
              <w:t>Unicité élémentaire non dérivée de A5-min ; certificat conditionnel</w:t>
            </w:r>
          </w:p>
        </w:tc>
      </w:tr>
      <w:tr>
        <w:trPr>
          <w:cantSplit/>
        </w:trPr>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CertRep</w:t>
            </w:r>
          </w:p>
        </w:tc>
        <w:tc>
          <w:tcPr>
            <w:tcW w:type="dxa" w:w="262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Reprise certifiée</w:t>
            </w:r>
          </w:p>
        </w:tc>
        <w:tc>
          <w:tcPr>
            <w:tcW w:type="dxa" w:w="108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5"/>
              </w:rPr>
              <w:t>[P]</w:t>
            </w:r>
          </w:p>
        </w:tc>
        <w:tc>
          <w:tcPr>
            <w:tcW w:type="dxa" w:w="15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5"/>
              </w:rPr>
              <w:t>Acteur et règle d’attribution ouverts</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LEM-B0</w:t>
            </w:r>
          </w:p>
        </w:tc>
        <w:tc>
          <w:tcPr>
            <w:tcW w:type="dxa" w:w="2455"/>
            <w:vAlign w:val="center"/>
            <w:tcMar>
              <w:top w:w="120" w:type="dxa"/>
              <w:left w:w="100" w:type="dxa"/>
              <w:bottom w:w="120" w:type="dxa"/>
              <w:right w:w="100" w:type="dxa"/>
              <w:start w:w="150" w:type="dxa"/>
              <w:end w:w="150" w:type="dxa"/>
            </w:tcMar>
          </w:tcPr>
          <w:p>
            <w:pPr>
              <w:spacing w:after="40" w:line="252" w:lineRule="auto"/>
            </w:pPr>
            <w:r>
              <w:t>Complétion conservatrice par ⊥</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c>
          <w:tcPr>
            <w:tcW w:type="dxa" w:w="2455"/>
            <w:vAlign w:val="center"/>
            <w:tcMar>
              <w:top w:w="120" w:type="dxa"/>
              <w:left w:w="100" w:type="dxa"/>
              <w:bottom w:w="120" w:type="dxa"/>
              <w:right w:w="100" w:type="dxa"/>
              <w:start w:w="150" w:type="dxa"/>
              <w:end w:w="150" w:type="dxa"/>
            </w:tcMar>
          </w:tcPr>
          <w:p>
            <w:pPr>
              <w:spacing w:after="40" w:line="252" w:lineRule="auto"/>
            </w:pPr>
            <w:r>
              <w:t>Stable ; intégré v0.2-R</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THM-B-FILT</w:t>
            </w:r>
          </w:p>
        </w:tc>
        <w:tc>
          <w:tcPr>
            <w:tcW w:type="dxa" w:w="2455"/>
            <w:vAlign w:val="center"/>
            <w:tcMar>
              <w:top w:w="120" w:type="dxa"/>
              <w:left w:w="100" w:type="dxa"/>
              <w:bottom w:w="120" w:type="dxa"/>
              <w:right w:w="100" w:type="dxa"/>
              <w:start w:w="150" w:type="dxa"/>
              <w:end w:w="150" w:type="dxa"/>
            </w:tcMar>
          </w:tcPr>
          <w:p>
            <w:pPr>
              <w:spacing w:after="40" w:line="252" w:lineRule="auto"/>
            </w:pPr>
            <w:r>
              <w:t>Réalisation de toute filtration finie admissible</w:t>
            </w:r>
          </w:p>
        </w:tc>
        <w:tc>
          <w:tcPr>
            <w:tcW w:type="dxa" w:w="2455"/>
            <w:vAlign w:val="center"/>
            <w:tcMar>
              <w:top w:w="120" w:type="dxa"/>
              <w:left w:w="100" w:type="dxa"/>
              <w:bottom w:w="120" w:type="dxa"/>
              <w:right w:w="100" w:type="dxa"/>
              <w:start w:w="150" w:type="dxa"/>
              <w:end w:w="150" w:type="dxa"/>
            </w:tcMar>
          </w:tcPr>
          <w:p>
            <w:pPr>
              <w:spacing w:after="40" w:line="252" w:lineRule="auto"/>
            </w:pPr>
            <w:r>
              <w:t>[D, fini]</w:t>
            </w:r>
          </w:p>
        </w:tc>
        <w:tc>
          <w:tcPr>
            <w:tcW w:type="dxa" w:w="2455"/>
            <w:vAlign w:val="center"/>
            <w:tcMar>
              <w:top w:w="120" w:type="dxa"/>
              <w:left w:w="100" w:type="dxa"/>
              <w:bottom w:w="120" w:type="dxa"/>
              <w:right w:w="100" w:type="dxa"/>
              <w:start w:w="150" w:type="dxa"/>
              <w:end w:w="150" w:type="dxa"/>
            </w:tcMar>
          </w:tcPr>
          <w:p>
            <w:pPr>
              <w:spacing w:after="40" w:line="252" w:lineRule="auto"/>
            </w:pPr>
            <w:r>
              <w:t>Stable ; formalisation possible</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LEM-B-SCOPE</w:t>
            </w:r>
          </w:p>
        </w:tc>
        <w:tc>
          <w:tcPr>
            <w:tcW w:type="dxa" w:w="2455"/>
            <w:vAlign w:val="center"/>
            <w:tcMar>
              <w:top w:w="120" w:type="dxa"/>
              <w:left w:w="100" w:type="dxa"/>
              <w:bottom w:w="120" w:type="dxa"/>
              <w:right w:w="100" w:type="dxa"/>
              <w:start w:w="150" w:type="dxa"/>
              <w:end w:w="150" w:type="dxa"/>
            </w:tcMar>
          </w:tcPr>
          <w:p>
            <w:pPr>
              <w:spacing w:after="40" w:line="252" w:lineRule="auto"/>
            </w:pPr>
            <w:r>
              <w:t>𝒦^(t)=↓{R(w):|w|≤t}</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c>
          <w:tcPr>
            <w:tcW w:type="dxa" w:w="2455"/>
            <w:vAlign w:val="center"/>
            <w:tcMar>
              <w:top w:w="120" w:type="dxa"/>
              <w:left w:w="100" w:type="dxa"/>
              <w:bottom w:w="120" w:type="dxa"/>
              <w:right w:w="100" w:type="dxa"/>
              <w:start w:w="150" w:type="dxa"/>
              <w:end w:w="150" w:type="dxa"/>
            </w:tcMar>
          </w:tcPr>
          <w:p>
            <w:pPr>
              <w:spacing w:after="40" w:line="252" w:lineRule="auto"/>
            </w:pPr>
            <w:r>
              <w:t>Stable</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THM-B-COMP</w:t>
            </w:r>
          </w:p>
        </w:tc>
        <w:tc>
          <w:tcPr>
            <w:tcW w:type="dxa" w:w="2455"/>
            <w:vAlign w:val="center"/>
            <w:tcMar>
              <w:top w:w="120" w:type="dxa"/>
              <w:left w:w="100" w:type="dxa"/>
              <w:bottom w:w="120" w:type="dxa"/>
              <w:right w:w="100" w:type="dxa"/>
              <w:start w:w="150" w:type="dxa"/>
              <w:end w:w="150" w:type="dxa"/>
            </w:tcMar>
          </w:tcPr>
          <w:p>
            <w:pPr>
              <w:spacing w:after="40"/>
            </w:pPr>
            <w:r>
              <w:t>Borne de comptage des certificats par mots</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c>
          <w:tcPr>
            <w:tcW w:type="dxa" w:w="2455"/>
            <w:vAlign w:val="center"/>
            <w:tcMar>
              <w:top w:w="120" w:type="dxa"/>
              <w:left w:w="100" w:type="dxa"/>
              <w:bottom w:w="120" w:type="dxa"/>
              <w:right w:w="100" w:type="dxa"/>
              <w:start w:w="150" w:type="dxa"/>
              <w:end w:w="150" w:type="dxa"/>
            </w:tcMar>
          </w:tcPr>
          <w:p>
            <w:pPr>
              <w:spacing w:after="40" w:line="252" w:lineRule="auto"/>
            </w:pPr>
            <w:r>
              <w:t>Stable ; borne supérieure ouverte</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PARETO-B</w:t>
            </w:r>
          </w:p>
        </w:tc>
        <w:tc>
          <w:tcPr>
            <w:tcW w:type="dxa" w:w="2455"/>
            <w:vAlign w:val="center"/>
            <w:tcMar>
              <w:top w:w="120" w:type="dxa"/>
              <w:left w:w="100" w:type="dxa"/>
              <w:bottom w:w="120" w:type="dxa"/>
              <w:right w:w="100" w:type="dxa"/>
              <w:start w:w="150" w:type="dxa"/>
              <w:end w:w="150" w:type="dxa"/>
            </w:tcMar>
          </w:tcPr>
          <w:p>
            <w:pPr>
              <w:spacing w:after="40" w:line="252" w:lineRule="auto"/>
            </w:pPr>
            <w:r>
              <w:t>Frontière Min 𝔇 et fonction t_min</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c>
          <w:tcPr>
            <w:tcW w:type="dxa" w:w="2455"/>
            <w:vAlign w:val="center"/>
            <w:tcMar>
              <w:top w:w="120" w:type="dxa"/>
              <w:left w:w="100" w:type="dxa"/>
              <w:bottom w:w="120" w:type="dxa"/>
              <w:right w:w="100" w:type="dxa"/>
              <w:start w:w="150" w:type="dxa"/>
              <w:end w:w="150" w:type="dxa"/>
            </w:tcMar>
          </w:tcPr>
          <w:p>
            <w:pPr>
              <w:spacing w:after="40" w:line="252" w:lineRule="auto"/>
            </w:pPr>
            <w:r>
              <w:t>Stable sous observation préalable</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PERS-B</w:t>
            </w:r>
          </w:p>
        </w:tc>
        <w:tc>
          <w:tcPr>
            <w:tcW w:type="dxa" w:w="2455"/>
            <w:vAlign w:val="center"/>
            <w:tcMar>
              <w:top w:w="120" w:type="dxa"/>
              <w:left w:w="100" w:type="dxa"/>
              <w:bottom w:w="120" w:type="dxa"/>
              <w:right w:w="100" w:type="dxa"/>
              <w:start w:w="150" w:type="dxa"/>
              <w:end w:w="150" w:type="dxa"/>
            </w:tcMar>
          </w:tcPr>
          <w:p>
            <w:pPr>
              <w:spacing w:after="40" w:line="252" w:lineRule="auto"/>
            </w:pPr>
            <w:r>
              <w:t>Persistance comme minorant seulement</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c>
          <w:tcPr>
            <w:tcW w:type="dxa" w:w="2455"/>
            <w:vAlign w:val="center"/>
            <w:tcMar>
              <w:top w:w="120" w:type="dxa"/>
              <w:left w:w="100" w:type="dxa"/>
              <w:bottom w:w="120" w:type="dxa"/>
              <w:right w:w="100" w:type="dxa"/>
              <w:start w:w="150" w:type="dxa"/>
              <w:end w:w="150" w:type="dxa"/>
            </w:tcMar>
          </w:tcPr>
          <w:p>
            <w:pPr>
              <w:spacing w:after="40" w:line="252" w:lineRule="auto"/>
            </w:pPr>
            <w:r>
              <w:t>Stable ; non-caractérisation</w:t>
            </w:r>
          </w:p>
        </w:tc>
      </w:tr>
      <w:tr>
        <w:trPr>
          <w:cantSplit/>
        </w:trPr>
        <w:tc>
          <w:tcPr>
            <w:tcW w:type="dxa" w:w="2455"/>
            <w:vAlign w:val="center"/>
            <w:tcMar>
              <w:top w:w="120" w:type="dxa"/>
              <w:left w:w="100" w:type="dxa"/>
              <w:bottom w:w="120" w:type="dxa"/>
              <w:right w:w="100" w:type="dxa"/>
              <w:start w:w="150" w:type="dxa"/>
              <w:end w:w="150" w:type="dxa"/>
            </w:tcMar>
          </w:tcPr>
          <w:p>
            <w:pPr>
              <w:spacing w:after="40" w:line="252" w:lineRule="auto"/>
            </w:pPr>
            <w:r>
              <w:t>NERODE-B</w:t>
            </w:r>
          </w:p>
        </w:tc>
        <w:tc>
          <w:tcPr>
            <w:tcW w:type="dxa" w:w="2455"/>
            <w:vAlign w:val="center"/>
            <w:tcMar>
              <w:top w:w="120" w:type="dxa"/>
              <w:left w:w="100" w:type="dxa"/>
              <w:bottom w:w="120" w:type="dxa"/>
              <w:right w:w="100" w:type="dxa"/>
              <w:start w:w="150" w:type="dxa"/>
              <w:end w:w="150" w:type="dxa"/>
            </w:tcMar>
          </w:tcPr>
          <w:p>
            <w:pPr>
              <w:spacing w:after="40" w:line="252" w:lineRule="auto"/>
            </w:pPr>
            <w:r>
              <w:t>Famille indexée ; intersection universelle Δ_X</w:t>
            </w:r>
          </w:p>
        </w:tc>
        <w:tc>
          <w:tcPr>
            <w:tcW w:type="dxa" w:w="2455"/>
            <w:vAlign w:val="center"/>
            <w:tcMar>
              <w:top w:w="120" w:type="dxa"/>
              <w:left w:w="100" w:type="dxa"/>
              <w:bottom w:w="120" w:type="dxa"/>
              <w:right w:w="100" w:type="dxa"/>
              <w:start w:w="150" w:type="dxa"/>
              <w:end w:w="150" w:type="dxa"/>
            </w:tcMar>
          </w:tcPr>
          <w:p>
            <w:pPr>
              <w:spacing w:after="40" w:line="252" w:lineRule="auto"/>
            </w:pPr>
            <w:r>
              <w:t>[D]</w:t>
            </w:r>
          </w:p>
        </w:tc>
        <w:tc>
          <w:tcPr>
            <w:tcW w:type="dxa" w:w="2455"/>
            <w:vAlign w:val="center"/>
            <w:tcMar>
              <w:top w:w="120" w:type="dxa"/>
              <w:left w:w="100" w:type="dxa"/>
              <w:bottom w:w="120" w:type="dxa"/>
              <w:right w:w="100" w:type="dxa"/>
              <w:start w:w="150" w:type="dxa"/>
              <w:end w:w="150" w:type="dxa"/>
            </w:tcMar>
          </w:tcPr>
          <w:p>
            <w:pPr>
              <w:spacing w:after="40" w:line="252" w:lineRule="auto"/>
            </w:pPr>
            <w:r>
              <w:t>Stable ; non-diagramme</w:t>
            </w:r>
          </w:p>
        </w:tc>
      </w:tr>
      <w:tr>
        <w:trPr>
          <w:cantSplit/>
        </w:trPr>
        <w:tc>
          <w:tcPr>
            <w:tcW w:type="dxa" w:w="2455"/>
            <w:tcMar>
              <w:top w:w="120" w:type="dxa"/>
              <w:start w:w="150" w:type="dxa"/>
              <w:bottom w:w="120" w:type="dxa"/>
              <w:end w:w="150" w:type="dxa"/>
            </w:tcMar>
            <w:vAlign w:val="center"/>
          </w:tcPr>
          <w:p>
            <w:pPr>
              <w:spacing w:after="40"/>
            </w:pPr>
            <w:r>
              <w:t>PROP-GRAPH</w:t>
            </w:r>
          </w:p>
        </w:tc>
        <w:tc>
          <w:tcPr>
            <w:tcW w:type="dxa" w:w="2455"/>
            <w:tcMar>
              <w:top w:w="120" w:type="dxa"/>
              <w:start w:w="150" w:type="dxa"/>
              <w:bottom w:w="120" w:type="dxa"/>
              <w:end w:w="150" w:type="dxa"/>
            </w:tcMar>
            <w:vAlign w:val="center"/>
          </w:tcPr>
          <w:p>
            <w:pPr>
              <w:spacing w:after="40"/>
            </w:pPr>
            <w:r>
              <w:t>Reconstruction = coloration du graphe de conflit</w:t>
            </w:r>
          </w:p>
        </w:tc>
        <w:tc>
          <w:tcPr>
            <w:tcW w:type="dxa" w:w="2455"/>
            <w:tcMar>
              <w:top w:w="120" w:type="dxa"/>
              <w:start w:w="150" w:type="dxa"/>
              <w:bottom w:w="120" w:type="dxa"/>
              <w:end w:w="150" w:type="dxa"/>
            </w:tcMar>
            <w:vAlign w:val="center"/>
          </w:tcPr>
          <w:p>
            <w:pPr>
              <w:spacing w:after="40"/>
            </w:pPr>
            <w:r>
              <w:t>[D]</w:t>
            </w:r>
          </w:p>
        </w:tc>
        <w:tc>
          <w:tcPr>
            <w:tcW w:type="dxa" w:w="2455"/>
            <w:tcMar>
              <w:top w:w="120" w:type="dxa"/>
              <w:start w:w="150" w:type="dxa"/>
              <w:bottom w:w="120" w:type="dxa"/>
              <w:end w:w="150" w:type="dxa"/>
            </w:tcMar>
            <w:vAlign w:val="center"/>
          </w:tcPr>
          <w:p>
            <w:pPr>
              <w:spacing w:after="40"/>
            </w:pPr>
            <w:r>
              <w:t>Intégré ; statut PA de traduction</w:t>
            </w:r>
          </w:p>
        </w:tc>
      </w:tr>
      <w:tr>
        <w:trPr>
          <w:cantSplit/>
        </w:trPr>
        <w:tc>
          <w:tcPr>
            <w:tcW w:type="dxa" w:w="2455"/>
            <w:tcMar>
              <w:top w:w="120" w:type="dxa"/>
              <w:start w:w="150" w:type="dxa"/>
              <w:bottom w:w="120" w:type="dxa"/>
              <w:end w:w="150" w:type="dxa"/>
            </w:tcMar>
            <w:vAlign w:val="center"/>
          </w:tcPr>
          <w:p>
            <w:pPr>
              <w:spacing w:after="40"/>
            </w:pPr>
            <w:r>
              <w:t>THM-D5</w:t>
            </w:r>
          </w:p>
        </w:tc>
        <w:tc>
          <w:tcPr>
            <w:tcW w:type="dxa" w:w="2455"/>
            <w:tcMar>
              <w:top w:w="120" w:type="dxa"/>
              <w:start w:w="150" w:type="dxa"/>
              <w:bottom w:w="120" w:type="dxa"/>
              <w:end w:w="150" w:type="dxa"/>
            </w:tcMar>
            <w:vAlign w:val="center"/>
          </w:tcPr>
          <w:p>
            <w:pPr>
              <w:spacing w:after="40"/>
            </w:pPr>
            <w:r>
              <w:t>Résidu exact d’un code matérialisé</w:t>
            </w:r>
          </w:p>
        </w:tc>
        <w:tc>
          <w:tcPr>
            <w:tcW w:type="dxa" w:w="2455"/>
            <w:tcMar>
              <w:top w:w="120" w:type="dxa"/>
              <w:start w:w="150" w:type="dxa"/>
              <w:bottom w:w="120" w:type="dxa"/>
              <w:end w:w="150" w:type="dxa"/>
            </w:tcMar>
            <w:vAlign w:val="center"/>
          </w:tcPr>
          <w:p>
            <w:pPr>
              <w:spacing w:after="40"/>
            </w:pPr>
            <w:r>
              <w:t>[D, fini]</w:t>
            </w:r>
          </w:p>
        </w:tc>
        <w:tc>
          <w:tcPr>
            <w:tcW w:type="dxa" w:w="2455"/>
            <w:tcMar>
              <w:top w:w="120" w:type="dxa"/>
              <w:start w:w="150" w:type="dxa"/>
              <w:bottom w:w="120" w:type="dxa"/>
              <w:end w:w="150" w:type="dxa"/>
            </w:tcMar>
            <w:vAlign w:val="center"/>
          </w:tcPr>
          <w:p>
            <w:pPr>
              <w:spacing w:after="40"/>
            </w:pPr>
            <w:r>
              <w:t>Audit zéro erreur / information latérale requis</w:t>
            </w:r>
          </w:p>
        </w:tc>
      </w:tr>
      <w:tr>
        <w:trPr>
          <w:cantSplit/>
        </w:trPr>
        <w:tc>
          <w:tcPr>
            <w:tcW w:type="dxa" w:w="2455"/>
            <w:tcMar>
              <w:top w:w="120" w:type="dxa"/>
              <w:start w:w="150" w:type="dxa"/>
              <w:bottom w:w="120" w:type="dxa"/>
              <w:end w:w="150" w:type="dxa"/>
            </w:tcMar>
            <w:vAlign w:val="center"/>
          </w:tcPr>
          <w:p>
            <w:pPr>
              <w:spacing w:after="40"/>
            </w:pPr>
            <w:r>
              <w:t>REAL-FIBER</w:t>
            </w:r>
          </w:p>
        </w:tc>
        <w:tc>
          <w:tcPr>
            <w:tcW w:type="dxa" w:w="2455"/>
            <w:tcMar>
              <w:top w:w="120" w:type="dxa"/>
              <w:start w:w="150" w:type="dxa"/>
              <w:bottom w:w="120" w:type="dxa"/>
              <w:end w:w="150" w:type="dxa"/>
            </w:tcMar>
            <w:vAlign w:val="center"/>
          </w:tcPr>
          <w:p>
            <w:pPr>
              <w:spacing w:after="40"/>
            </w:pPr>
            <w:r>
              <w:t>Fibre Real(𝔽)</w:t>
            </w:r>
          </w:p>
        </w:tc>
        <w:tc>
          <w:tcPr>
            <w:tcW w:type="dxa" w:w="2455"/>
            <w:tcMar>
              <w:top w:w="120" w:type="dxa"/>
              <w:start w:w="150" w:type="dxa"/>
              <w:bottom w:w="120" w:type="dxa"/>
              <w:end w:w="150" w:type="dxa"/>
            </w:tcMar>
            <w:vAlign w:val="center"/>
          </w:tcPr>
          <w:p>
            <w:pPr>
              <w:spacing w:after="40"/>
            </w:pPr>
            <w:r>
              <w:t>[F/P]</w:t>
            </w:r>
          </w:p>
        </w:tc>
        <w:tc>
          <w:tcPr>
            <w:tcW w:type="dxa" w:w="2455"/>
            <w:tcMar>
              <w:top w:w="120" w:type="dxa"/>
              <w:start w:w="150" w:type="dxa"/>
              <w:bottom w:w="120" w:type="dxa"/>
              <w:end w:w="150" w:type="dxa"/>
            </w:tcMar>
            <w:vAlign w:val="center"/>
          </w:tcPr>
          <w:p>
            <w:pPr>
              <w:spacing w:after="40"/>
            </w:pPr>
            <w:r>
              <w:t>Morphismes et ordre à définir</w:t>
            </w:r>
          </w:p>
        </w:tc>
      </w:tr>
      <w:tr>
        <w:trPr>
          <w:cantSplit/>
        </w:trPr>
        <w:tc>
          <w:tcPr>
            <w:tcW w:type="dxa" w:w="2455"/>
            <w:tcMar>
              <w:top w:w="120" w:type="dxa"/>
              <w:start w:w="150" w:type="dxa"/>
              <w:bottom w:w="120" w:type="dxa"/>
              <w:end w:w="150" w:type="dxa"/>
            </w:tcMar>
            <w:vAlign w:val="center"/>
          </w:tcPr>
          <w:p>
            <w:pPr>
              <w:spacing w:after="40"/>
            </w:pPr>
            <w:r>
              <w:t>COMPDYN</w:t>
            </w:r>
          </w:p>
        </w:tc>
        <w:tc>
          <w:tcPr>
            <w:tcW w:type="dxa" w:w="2455"/>
            <w:tcMar>
              <w:top w:w="120" w:type="dxa"/>
              <w:start w:w="150" w:type="dxa"/>
              <w:bottom w:w="120" w:type="dxa"/>
              <w:end w:w="150" w:type="dxa"/>
            </w:tcMar>
            <w:vAlign w:val="center"/>
          </w:tcPr>
          <w:p>
            <w:pPr>
              <w:spacing w:after="40"/>
            </w:pPr>
            <w:r>
              <w:t>Profil multicritère de réalisation</w:t>
            </w:r>
          </w:p>
        </w:tc>
        <w:tc>
          <w:tcPr>
            <w:tcW w:type="dxa" w:w="2455"/>
            <w:tcMar>
              <w:top w:w="120" w:type="dxa"/>
              <w:start w:w="150" w:type="dxa"/>
              <w:bottom w:w="120" w:type="dxa"/>
              <w:end w:w="150" w:type="dxa"/>
            </w:tcMar>
            <w:vAlign w:val="center"/>
          </w:tcPr>
          <w:p>
            <w:pPr>
              <w:spacing w:after="40"/>
            </w:pPr>
            <w:r>
              <w:t>[F/P]</w:t>
            </w:r>
          </w:p>
        </w:tc>
        <w:tc>
          <w:tcPr>
            <w:tcW w:type="dxa" w:w="2455"/>
            <w:tcMar>
              <w:top w:w="120" w:type="dxa"/>
              <w:start w:w="150" w:type="dxa"/>
              <w:bottom w:w="120" w:type="dxa"/>
              <w:end w:w="150" w:type="dxa"/>
            </w:tcMar>
            <w:vAlign w:val="center"/>
          </w:tcPr>
          <w:p>
            <w:pPr>
              <w:spacing w:after="40"/>
            </w:pPr>
            <w:r>
              <w:t>Bornes et dépendance à l’encodage ouvertes</w:t>
            </w:r>
          </w:p>
        </w:tc>
      </w:tr>
      <w:tr>
        <w:trPr>
          <w:cantSplit/>
        </w:trPr>
        <w:tc>
          <w:tcPr>
            <w:tcW w:type="dxa" w:w="2455"/>
            <w:tcMar>
              <w:top w:w="120" w:type="dxa"/>
              <w:start w:w="150" w:type="dxa"/>
              <w:bottom w:w="120" w:type="dxa"/>
              <w:end w:w="150" w:type="dxa"/>
            </w:tcMar>
            <w:vAlign w:val="center"/>
          </w:tcPr>
          <w:p>
            <w:pPr>
              <w:spacing w:after="40"/>
            </w:pPr>
            <w:r>
              <w:t>RES-B</w:t>
            </w:r>
          </w:p>
        </w:tc>
        <w:tc>
          <w:tcPr>
            <w:tcW w:type="dxa" w:w="2455"/>
            <w:tcMar>
              <w:top w:w="120" w:type="dxa"/>
              <w:start w:w="150" w:type="dxa"/>
              <w:bottom w:w="120" w:type="dxa"/>
              <w:end w:w="150" w:type="dxa"/>
            </w:tcMar>
            <w:vAlign w:val="center"/>
          </w:tcPr>
          <w:p>
            <w:pPr>
              <w:spacing w:after="40"/>
            </w:pPr>
            <w:r>
              <w:t>Résidus de réparation</w:t>
            </w:r>
          </w:p>
        </w:tc>
        <w:tc>
          <w:tcPr>
            <w:tcW w:type="dxa" w:w="2455"/>
            <w:tcMar>
              <w:top w:w="120" w:type="dxa"/>
              <w:start w:w="150" w:type="dxa"/>
              <w:bottom w:w="120" w:type="dxa"/>
              <w:end w:w="150" w:type="dxa"/>
            </w:tcMar>
            <w:vAlign w:val="center"/>
          </w:tcPr>
          <w:p>
            <w:pPr>
              <w:spacing w:after="40"/>
            </w:pPr>
            <w:r>
              <w:t>[P]</w:t>
            </w:r>
          </w:p>
        </w:tc>
        <w:tc>
          <w:tcPr>
            <w:tcW w:type="dxa" w:w="2455"/>
            <w:tcMar>
              <w:top w:w="120" w:type="dxa"/>
              <w:start w:w="150" w:type="dxa"/>
              <w:bottom w:w="120" w:type="dxa"/>
              <w:end w:w="150" w:type="dxa"/>
            </w:tcMar>
            <w:vAlign w:val="center"/>
          </w:tcPr>
          <w:p>
            <w:pPr>
              <w:spacing w:after="40"/>
            </w:pPr>
            <w:r>
              <w:t>Analogue Myhill–Nerode à développer</w:t>
            </w:r>
          </w:p>
        </w:tc>
      </w:tr>
      <w:tr>
        <w:trPr>
          <w:cantSplit/>
        </w:trPr>
        <w:tc>
          <w:tcPr>
            <w:tcW w:type="dxa" w:w="2455"/>
            <w:tcMar>
              <w:top w:w="120" w:type="dxa"/>
              <w:start w:w="150" w:type="dxa"/>
              <w:bottom w:w="120" w:type="dxa"/>
              <w:end w:w="150" w:type="dxa"/>
            </w:tcMar>
            <w:vAlign w:val="center"/>
          </w:tcPr>
          <w:p>
            <w:pPr>
              <w:spacing w:after="40"/>
            </w:pPr>
            <w:r>
              <w:t>NERODE-FAM</w:t>
            </w:r>
          </w:p>
        </w:tc>
        <w:tc>
          <w:tcPr>
            <w:tcW w:type="dxa" w:w="2455"/>
            <w:tcMar>
              <w:top w:w="120" w:type="dxa"/>
              <w:start w:w="150" w:type="dxa"/>
              <w:bottom w:w="120" w:type="dxa"/>
              <w:end w:w="150" w:type="dxa"/>
            </w:tcMar>
            <w:vAlign w:val="center"/>
          </w:tcPr>
          <w:p>
            <w:pPr>
              <w:spacing w:after="40"/>
            </w:pPr>
            <w:r>
              <w:t>Nerode sur familles de cibles</w:t>
            </w:r>
          </w:p>
        </w:tc>
        <w:tc>
          <w:tcPr>
            <w:tcW w:type="dxa" w:w="2455"/>
            <w:tcMar>
              <w:top w:w="120" w:type="dxa"/>
              <w:start w:w="150" w:type="dxa"/>
              <w:bottom w:w="120" w:type="dxa"/>
              <w:end w:w="150" w:type="dxa"/>
            </w:tcMar>
            <w:vAlign w:val="center"/>
          </w:tcPr>
          <w:p>
            <w:pPr>
              <w:spacing w:after="40"/>
            </w:pPr>
            <w:r>
              <w:t>[D]</w:t>
            </w:r>
          </w:p>
        </w:tc>
        <w:tc>
          <w:tcPr>
            <w:tcW w:type="dxa" w:w="2455"/>
            <w:tcMar>
              <w:top w:w="120" w:type="dxa"/>
              <w:start w:w="150" w:type="dxa"/>
              <w:bottom w:w="120" w:type="dxa"/>
              <w:end w:w="150" w:type="dxa"/>
            </w:tcMar>
            <w:vAlign w:val="center"/>
          </w:tcPr>
          <w:p>
            <w:pPr>
              <w:spacing w:after="40"/>
            </w:pPr>
            <w:r>
              <w:t>Véritable antitonie à formaliser</w:t>
            </w:r>
          </w:p>
        </w:tc>
      </w:tr>
      <w:tr>
        <w:trPr>
          <w:cantSplit/>
        </w:trPr>
        <w:tc>
          <w:tcPr>
            <w:tcW w:type="dxa" w:w="2455"/>
            <w:tcMar>
              <w:top w:w="120" w:type="dxa"/>
              <w:start w:w="150" w:type="dxa"/>
              <w:bottom w:w="120" w:type="dxa"/>
              <w:end w:w="150" w:type="dxa"/>
            </w:tcMar>
            <w:vAlign w:val="center"/>
          </w:tcPr>
          <w:p>
            <w:pPr>
              <w:spacing w:after="40"/>
            </w:pPr>
            <w:r>
              <w:t>PA-RECORD</w:t>
            </w:r>
          </w:p>
        </w:tc>
        <w:tc>
          <w:tcPr>
            <w:tcW w:type="dxa" w:w="2455"/>
            <w:tcMar>
              <w:top w:w="120" w:type="dxa"/>
              <w:start w:w="150" w:type="dxa"/>
              <w:bottom w:w="120" w:type="dxa"/>
              <w:end w:w="150" w:type="dxa"/>
            </w:tcMar>
            <w:vAlign w:val="center"/>
          </w:tcPr>
          <w:p>
            <w:pPr>
              <w:spacing w:after="40"/>
            </w:pPr>
            <w:r>
              <w:t>Dossier d’antériorité daté</w:t>
            </w:r>
          </w:p>
        </w:tc>
        <w:tc>
          <w:tcPr>
            <w:tcW w:type="dxa" w:w="2455"/>
            <w:tcMar>
              <w:top w:w="120" w:type="dxa"/>
              <w:start w:w="150" w:type="dxa"/>
              <w:bottom w:w="120" w:type="dxa"/>
              <w:end w:w="150" w:type="dxa"/>
            </w:tcMar>
            <w:vAlign w:val="center"/>
          </w:tcPr>
          <w:p>
            <w:pPr>
              <w:spacing w:after="40"/>
            </w:pPr>
            <w:r>
              <w:t>[R/F]</w:t>
            </w:r>
          </w:p>
        </w:tc>
        <w:tc>
          <w:tcPr>
            <w:tcW w:type="dxa" w:w="2455"/>
            <w:tcMar>
              <w:top w:w="120" w:type="dxa"/>
              <w:start w:w="150" w:type="dxa"/>
              <w:bottom w:w="120" w:type="dxa"/>
              <w:end w:w="150" w:type="dxa"/>
            </w:tcMar>
            <w:vAlign w:val="center"/>
          </w:tcPr>
          <w:p>
            <w:pPr>
              <w:spacing w:after="40"/>
            </w:pPr>
            <w:r>
              <w:t>À remplir pour chaque résultat central</w:t>
            </w:r>
          </w:p>
        </w:tc>
      </w:tr>
    </w:tbl>
    <w:p>
      <w:pPr>
        <w:spacing w:after="0"/>
      </w:pPr>
    </w:p>
    <w:p>
      <w:pPr>
        <w:pStyle w:val="Heading1"/>
        <w:keepNext/>
      </w:pPr>
      <w:r>
        <w:t>Annexe B — Notations principales</w:t>
      </w:r>
    </w:p>
    <w:tbl>
      <w:tblPr>
        <w:tblW w:type="auto" w:w="0"/>
        <w:jc w:val="center"/>
        <w:tblLayout w:type="fixed"/>
        <w:tblLook w:firstColumn="1" w:firstRow="1" w:lastColumn="0" w:lastRow="0" w:noHBand="0" w:noVBand="1" w:val="04A0"/>
      </w:tblPr>
      <w:tblGrid>
        <w:gridCol w:w="4910"/>
        <w:gridCol w:w="4910"/>
      </w:tblGrid>
      <w:tr>
        <w:trPr>
          <w:tblHeader w:val="true"/>
          <w:cantSplit/>
          <w:tblHeader w:val="true"/>
        </w:trPr>
        <w:tc>
          <w:tcPr>
            <w:tcW w:type="dxa" w:w="1512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Notation</w:t>
            </w:r>
          </w:p>
        </w:tc>
        <w:tc>
          <w:tcPr>
            <w:tcW w:type="dxa" w:w="4608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Sens</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Eq(f), ker f</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Relation d’indiscernabilité induite par f.</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P=Eq(π)</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Noyau de l’observation.</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K=Eq(F)</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Noyau de la cible.</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D(π,F)</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Relations ρ telles que ρ∩P⊆K.</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γ_F</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Trace parcimonieuse P∩K.</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c*card(π,F)</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Largeur fibrée maximale.</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I₀=⟨π,q,α₀⟩</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Information immédiatement lisible.</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ι₀(ℛ)=Eq(I₀)</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Noyau d’information présent.</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Reach(x,K)</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Atteignabilité depuis un état réel.</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UReach(C,K)</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Même séquence sur toute une croyance.</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Ctrl(C,K)</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Politique adaptative aux observations.</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T(Σ,I)</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Monoïde de traces partiellement commutatives.</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Hist(f)</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Fibre des histoires admissibles au-dessus de f.</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U_J</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Oubli du journal, identique sur les objets.</w:t>
            </w:r>
          </w:p>
        </w:tc>
      </w:tr>
      <w:tr>
        <w:trPr>
          <w:cantSplit/>
        </w:trPr>
        <w:tc>
          <w:tcPr>
            <w:tcW w:type="dxa" w:w="15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U_O</w:t>
            </w:r>
          </w:p>
        </w:tc>
        <w:tc>
          <w:tcPr>
            <w:tcW w:type="dxa" w:w="4608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Oubli des enrichissements objectaux.</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𝒦_ℛ^(t)(C,K_A)</w:t>
            </w:r>
          </w:p>
        </w:tc>
        <w:tc>
          <w:tcPr>
            <w:tcW w:type="dxa" w:w="4910"/>
            <w:vAlign w:val="center"/>
            <w:tcMar>
              <w:top w:w="120" w:type="dxa"/>
              <w:left w:w="100" w:type="dxa"/>
              <w:bottom w:w="120" w:type="dxa"/>
              <w:right w:w="100" w:type="dxa"/>
              <w:start w:w="150" w:type="dxa"/>
              <w:end w:w="150" w:type="dxa"/>
            </w:tcMar>
          </w:tcPr>
          <w:p>
            <w:pPr>
              <w:spacing w:after="40" w:line="252" w:lineRule="auto"/>
            </w:pPr>
            <w:r>
              <w:t>Complexe des sous-cellules réparables uniformément en au plus t actions.</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τ_B,ℛ(D;K_A)</w:t>
            </w:r>
          </w:p>
        </w:tc>
        <w:tc>
          <w:tcPr>
            <w:tcW w:type="dxa" w:w="4910"/>
            <w:vAlign w:val="center"/>
            <w:tcMar>
              <w:top w:w="120" w:type="dxa"/>
              <w:left w:w="100" w:type="dxa"/>
              <w:bottom w:w="120" w:type="dxa"/>
              <w:right w:w="100" w:type="dxa"/>
              <w:start w:w="150" w:type="dxa"/>
              <w:end w:w="150" w:type="dxa"/>
            </w:tcMar>
          </w:tcPr>
          <w:p>
            <w:pPr>
              <w:spacing w:after="40" w:line="252" w:lineRule="auto"/>
            </w:pPr>
            <w:r>
              <w:t>Temps minimal de naissance de D dans la filtration dynamique.</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𝒪_t(C)</w:t>
            </w:r>
          </w:p>
        </w:tc>
        <w:tc>
          <w:tcPr>
            <w:tcW w:type="dxa" w:w="4910"/>
            <w:vAlign w:val="center"/>
            <w:tcMar>
              <w:top w:w="120" w:type="dxa"/>
              <w:left w:w="100" w:type="dxa"/>
              <w:bottom w:w="120" w:type="dxa"/>
              <w:right w:w="100" w:type="dxa"/>
              <w:start w:w="150" w:type="dxa"/>
              <w:end w:w="150" w:type="dxa"/>
            </w:tcMar>
          </w:tcPr>
          <w:p>
            <w:pPr>
              <w:spacing w:after="40" w:line="252" w:lineRule="auto"/>
            </w:pPr>
            <w:r>
              <w:t>Non-faces minimales de 𝒦^(t), obstructions inductives.</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κ_t(C)</w:t>
            </w:r>
          </w:p>
        </w:tc>
        <w:tc>
          <w:tcPr>
            <w:tcW w:type="dxa" w:w="4910"/>
            <w:vAlign w:val="center"/>
            <w:tcMar>
              <w:top w:w="120" w:type="dxa"/>
              <w:left w:w="100" w:type="dxa"/>
              <w:bottom w:w="120" w:type="dxa"/>
              <w:right w:w="100" w:type="dxa"/>
              <w:start w:w="150" w:type="dxa"/>
              <w:end w:w="150" w:type="dxa"/>
            </w:tcMar>
          </w:tcPr>
          <w:p>
            <w:pPr>
              <w:spacing w:after="40" w:line="252" w:lineRule="auto"/>
            </w:pPr>
            <w:r>
              <w:t>Nombre minimal de blocs réparables dans une partition de C à l’horizon t.</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t_min(b)</w:t>
            </w:r>
          </w:p>
        </w:tc>
        <w:tc>
          <w:tcPr>
            <w:tcW w:type="dxa" w:w="4910"/>
            <w:vAlign w:val="center"/>
            <w:tcMar>
              <w:top w:w="120" w:type="dxa"/>
              <w:left w:w="100" w:type="dxa"/>
              <w:bottom w:w="120" w:type="dxa"/>
              <w:right w:w="100" w:type="dxa"/>
              <w:start w:w="150" w:type="dxa"/>
              <w:end w:w="150" w:type="dxa"/>
            </w:tcMar>
          </w:tcPr>
          <w:p>
            <w:pPr>
              <w:spacing w:after="40" w:line="252" w:lineRule="auto"/>
            </w:pPr>
            <w:r>
              <w:t>Horizon minimal sous un budget de b bits : min{t:κ_t≤2^b}.</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R(w)</w:t>
            </w:r>
          </w:p>
        </w:tc>
        <w:tc>
          <w:tcPr>
            <w:tcW w:type="dxa" w:w="4910"/>
            <w:vAlign w:val="center"/>
            <w:tcMar>
              <w:top w:w="120" w:type="dxa"/>
              <w:left w:w="100" w:type="dxa"/>
              <w:bottom w:w="120" w:type="dxa"/>
              <w:right w:w="100" w:type="dxa"/>
              <w:start w:w="150" w:type="dxa"/>
              <w:end w:w="150" w:type="dxa"/>
            </w:tcMar>
          </w:tcPr>
          <w:p>
            <w:pPr>
              <w:spacing w:after="40" w:line="252" w:lineRule="auto"/>
            </w:pPr>
            <w:r>
              <w:t>Portée réparatrice du mot w.</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N_t</w:t>
            </w:r>
          </w:p>
        </w:tc>
        <w:tc>
          <w:tcPr>
            <w:tcW w:type="dxa" w:w="4910"/>
            <w:vAlign w:val="center"/>
            <w:tcMar>
              <w:top w:w="120" w:type="dxa"/>
              <w:left w:w="100" w:type="dxa"/>
              <w:bottom w:w="120" w:type="dxa"/>
              <w:right w:w="100" w:type="dxa"/>
              <w:start w:w="150" w:type="dxa"/>
              <w:end w:w="150" w:type="dxa"/>
            </w:tcMar>
          </w:tcPr>
          <w:p>
            <w:pPr>
              <w:spacing w:after="40" w:line="252" w:lineRule="auto"/>
            </w:pPr>
            <w:r>
              <w:t>Nombre de facettes de 𝒦^(t).</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Comp(𝔽^•)</w:t>
            </w:r>
          </w:p>
        </w:tc>
        <w:tc>
          <w:tcPr>
            <w:tcW w:type="dxa" w:w="4910"/>
            <w:vAlign w:val="center"/>
            <w:tcMar>
              <w:top w:w="120" w:type="dxa"/>
              <w:left w:w="100" w:type="dxa"/>
              <w:bottom w:w="120" w:type="dxa"/>
              <w:right w:w="100" w:type="dxa"/>
              <w:start w:w="150" w:type="dxa"/>
              <w:end w:w="150" w:type="dxa"/>
            </w:tcMar>
          </w:tcPr>
          <w:p>
            <w:pPr>
              <w:spacing w:after="40" w:line="252" w:lineRule="auto"/>
            </w:pPr>
            <w:r>
              <w:t>Profil Pareto de réalisation en états, actions et incidences.</w:t>
            </w:r>
          </w:p>
        </w:tc>
      </w:tr>
    </w:tbl>
    <w:p>
      <w:pPr>
        <w:spacing w:after="0"/>
      </w:pPr>
    </w:p>
    <w:p>
      <w:pPr>
        <w:pStyle w:val="Heading1"/>
        <w:keepNext/>
      </w:pPr>
      <w:r>
        <w:t>Annexe C — Formules directrices</w:t>
      </w:r>
    </w:p>
    <w:p>
      <w:pPr>
        <w:keepLines/>
        <w:spacing w:before="80" w:after="140"/>
        <w:jc w:val="center"/>
      </w:pPr>
      <w:r>
        <w:rPr>
          <w:rFonts w:ascii="Liberation Serif" w:hAnsi="Liberation Serif" w:eastAsia="Liberation Serif"/>
          <w:b w:val="0"/>
          <w:i/>
          <w:color w:val="243436"/>
          <w:sz w:val="22"/>
        </w:rPr>
        <w:t>F = R∘⟨π,q⟩  ⇔  Eq(π)∩Eq(q) ⊆ Eq(F)</w:t>
      </w:r>
    </w:p>
    <w:p>
      <w:pPr>
        <w:keepLines/>
        <w:spacing w:before="80" w:after="140"/>
        <w:jc w:val="center"/>
      </w:pPr>
      <w:r>
        <w:rPr>
          <w:rFonts w:ascii="Liberation Serif" w:hAnsi="Liberation Serif" w:eastAsia="Liberation Serif"/>
          <w:b w:val="0"/>
          <w:i/>
          <w:color w:val="243436"/>
          <w:sz w:val="22"/>
        </w:rPr>
        <w:t>Sch(π,F)/≈  ≅  D(π,F)ᵒᵖ</w:t>
      </w:r>
    </w:p>
    <w:p>
      <w:pPr>
        <w:keepLines/>
        <w:spacing w:before="80" w:after="140"/>
        <w:jc w:val="center"/>
      </w:pPr>
      <w:r>
        <w:rPr>
          <w:rFonts w:ascii="Liberation Serif" w:hAnsi="Liberation Serif" w:eastAsia="Liberation Serif"/>
          <w:b w:val="0"/>
          <w:i/>
          <w:color w:val="243436"/>
          <w:sz w:val="22"/>
        </w:rPr>
        <w:t>c*card(π,F)=max_y |F(π⁻¹(y))|</w:t>
      </w:r>
    </w:p>
    <w:p>
      <w:pPr>
        <w:keepLines/>
        <w:spacing w:before="80" w:after="140"/>
        <w:jc w:val="center"/>
      </w:pPr>
      <w:r>
        <w:rPr>
          <w:rFonts w:ascii="Liberation Serif" w:hAnsi="Liberation Serif" w:eastAsia="Liberation Serif"/>
          <w:b w:val="0"/>
          <w:i/>
          <w:color w:val="243436"/>
          <w:sz w:val="22"/>
        </w:rPr>
        <w:t>τ(ρ)=ρ∩Eq(π),     γ_F=Eq(π)∩Eq(F)</w:t>
      </w:r>
    </w:p>
    <w:p>
      <w:pPr>
        <w:keepLines/>
        <w:spacing w:before="80" w:after="140"/>
        <w:jc w:val="center"/>
      </w:pPr>
      <w:r>
        <w:rPr>
          <w:rFonts w:ascii="Liberation Serif" w:hAnsi="Liberation Serif" w:eastAsia="Liberation Serif"/>
          <w:b w:val="0"/>
          <w:i/>
          <w:color w:val="243436"/>
          <w:sz w:val="22"/>
        </w:rPr>
        <w:t>k(F,G)-k(F)=max_y(d_y(G|F)-s_y(F))</w:t>
      </w:r>
    </w:p>
    <w:p>
      <w:pPr>
        <w:keepLines/>
        <w:spacing w:before="80" w:after="140"/>
        <w:jc w:val="center"/>
      </w:pPr>
      <w:r>
        <w:rPr>
          <w:rFonts w:ascii="Liberation Serif" w:hAnsi="Liberation Serif" w:eastAsia="Liberation Serif"/>
          <w:b w:val="0"/>
          <w:i/>
          <w:color w:val="243436"/>
          <w:sz w:val="22"/>
        </w:rPr>
        <w:t>D2 ⇒ D3a,     D3a ⇏ D2</w:t>
      </w:r>
    </w:p>
    <w:p>
      <w:pPr>
        <w:keepLines/>
        <w:spacing w:before="80" w:after="140"/>
        <w:jc w:val="center"/>
      </w:pPr>
      <w:r>
        <w:rPr>
          <w:rFonts w:ascii="Liberation Serif" w:hAnsi="Liberation Serif" w:eastAsia="Liberation Serif"/>
          <w:b w:val="0"/>
          <w:i/>
          <w:color w:val="243436"/>
          <w:sz w:val="22"/>
        </w:rPr>
        <w:t>Rec_ℛ(G) ⇔ ι₀(ℛ)≤Eq(G)</w:t>
      </w:r>
    </w:p>
    <w:p>
      <w:pPr>
        <w:keepLines/>
        <w:spacing w:before="80" w:after="140"/>
        <w:jc w:val="center"/>
      </w:pPr>
      <w:r>
        <w:rPr>
          <w:rFonts w:ascii="Liberation Serif" w:hAnsi="Liberation Serif" w:eastAsia="Liberation Serif"/>
          <w:b w:val="0"/>
          <w:i/>
          <w:color w:val="243436"/>
          <w:sz w:val="22"/>
        </w:rPr>
        <w:t>Recode_ℛ(G) ⇔ Rec_ℛ(G) et c*card(π,G)≤B_lab</w:t>
      </w:r>
    </w:p>
    <w:p>
      <w:pPr>
        <w:keepLines/>
        <w:spacing w:before="80" w:after="140"/>
        <w:jc w:val="center"/>
      </w:pPr>
      <w:r>
        <w:rPr>
          <w:rFonts w:ascii="Liberation Serif" w:hAnsi="Liberation Serif" w:eastAsia="Liberation Serif"/>
          <w:b w:val="0"/>
          <w:i/>
          <w:color w:val="243436"/>
          <w:sz w:val="22"/>
        </w:rPr>
        <w:t>Reach point par point ⇏ UReach</w:t>
      </w:r>
    </w:p>
    <w:p>
      <w:pPr>
        <w:keepLines/>
        <w:spacing w:before="80" w:after="140"/>
        <w:jc w:val="center"/>
      </w:pPr>
      <w:r>
        <w:rPr>
          <w:rFonts w:ascii="Liberation Serif" w:hAnsi="Liberation Serif" w:eastAsia="Liberation Serif"/>
          <w:b w:val="0"/>
          <w:i/>
          <w:color w:val="243436"/>
          <w:sz w:val="22"/>
        </w:rPr>
        <w:t>¬Rec ⇏ ¬UReach</w:t>
      </w:r>
    </w:p>
    <w:p>
      <w:pPr>
        <w:keepLines/>
        <w:spacing w:before="80" w:after="140"/>
        <w:jc w:val="center"/>
      </w:pPr>
      <w:r>
        <w:rPr>
          <w:rFonts w:ascii="Liberation Serif" w:hAnsi="Liberation Serif" w:eastAsia="Liberation Serif"/>
          <w:b w:val="0"/>
          <w:i/>
          <w:color w:val="243436"/>
          <w:sz w:val="22"/>
        </w:rPr>
        <w:t>T(Σ,I)=Σ*/≡_I</w:t>
      </w:r>
    </w:p>
    <w:p>
      <w:pPr>
        <w:keepLines/>
        <w:spacing w:before="80" w:after="140"/>
        <w:jc w:val="center"/>
      </w:pPr>
      <w:r>
        <w:rPr>
          <w:rFonts w:ascii="Liberation Serif" w:hAnsi="Liberation Serif" w:eastAsia="Liberation Serif"/>
          <w:b w:val="0"/>
          <w:i/>
          <w:color w:val="243436"/>
          <w:sz w:val="22"/>
        </w:rPr>
        <w:t>s_id=1_T,     s_{g∘f}=s_f⋆s_g</w:t>
      </w:r>
    </w:p>
    <w:p>
      <w:pPr>
        <w:keepLines/>
        <w:jc w:val="center"/>
      </w:pPr>
      <w:r>
        <w:rPr>
          <w:b w:val="0"/>
          <w:i w:val="0"/>
        </w:rPr>
        <w:t>𝒦_ℛ^(t)(C,K_A)={D⊆C:∃w, |w|≤t, D⊆dom(w), w(D)⊆K_A}</w:t>
      </w:r>
    </w:p>
    <w:p>
      <w:pPr>
        <w:keepLines/>
        <w:jc w:val="center"/>
      </w:pPr>
      <w:r>
        <w:rPr>
          <w:b w:val="0"/>
          <w:i w:val="0"/>
        </w:rPr>
        <w:t>τ_B(D;K_A)=min{t:D∈𝒦^(t)}</w:t>
      </w:r>
    </w:p>
    <w:p>
      <w:pPr>
        <w:keepLines/>
        <w:jc w:val="center"/>
      </w:pPr>
      <w:r>
        <w:rPr>
          <w:b w:val="0"/>
          <w:i w:val="0"/>
        </w:rPr>
        <w:t>𝒦^(t)=↓{R(w):|w|≤t}</w:t>
      </w:r>
    </w:p>
    <w:p>
      <w:pPr>
        <w:keepLines/>
        <w:jc w:val="center"/>
      </w:pPr>
      <w:r>
        <w:rPr>
          <w:b w:val="0"/>
          <w:i w:val="0"/>
        </w:rPr>
        <w:t>N_t≤1+m+⋯+m^t≤2m^t  (m≥2)</w:t>
      </w:r>
    </w:p>
    <w:p>
      <w:pPr>
        <w:keepLines/>
        <w:jc w:val="center"/>
      </w:pPr>
      <w:r>
        <w:rPr>
          <w:b w:val="0"/>
          <w:i w:val="0"/>
        </w:rPr>
        <w:t>κ_t=min{|𝒫|:𝒫 partition de C, ∀B∈𝒫, B∈𝒦^(t)}</w:t>
      </w:r>
    </w:p>
    <w:p>
      <w:pPr>
        <w:keepLines/>
        <w:jc w:val="center"/>
      </w:pPr>
      <w:r>
        <w:rPr>
          <w:b w:val="0"/>
          <w:i w:val="0"/>
        </w:rPr>
        <w:t>t_min(b)=min{t:κ_t≤2^b}</w:t>
      </w:r>
    </w:p>
    <w:p>
      <w:pPr>
        <w:keepLines/>
        <w:jc w:val="center"/>
      </w:pPr>
      <w:r>
        <w:rPr>
          <w:b w:val="0"/>
          <w:i w:val="0"/>
        </w:rPr>
        <w:t>⋂_{K⊆X}∼_N^K=Δ_X</w:t>
      </w:r>
    </w:p>
    <w:p>
      <w:pPr>
        <w:keepLines/>
        <w:jc w:val="center"/>
      </w:pPr>
      <w:r>
        <w:rPr>
          <w:b w:val="0"/>
          <w:i w:val="0"/>
        </w:rPr>
        <w:t>R1 sous-catégorie + Hist(m_i) singletons + e₁⋆e₂≠e₁′⋆e₂′  ⇒  aucune section sur R1</w:t>
      </w:r>
    </w:p>
    <w:p>
      <w:r>
        <w:rPr>
          <w:b w:val="0"/>
          <w:i w:val="0"/>
        </w:rPr>
        <w:t>Γ_{π,F}: {x,x′}∈E ⇔ π(x)=π(x′) et F(x)≠F(x′)</w:t>
      </w:r>
    </w:p>
    <w:p>
      <w:r>
        <w:rPr>
          <w:b w:val="0"/>
          <w:i w:val="0"/>
        </w:rPr>
        <w:t>q reconstructif ⇔ q coloration propre de Γ_{π,F}</w:t>
      </w:r>
    </w:p>
    <w:p>
      <w:r>
        <w:rPr>
          <w:b w:val="0"/>
          <w:i w:val="0"/>
        </w:rPr>
        <w:t>c*card(π,F)=χ(Γ_{π,F})=max_y |F(π⁻¹(y))|</w:t>
      </w:r>
    </w:p>
    <w:p>
      <w:r>
        <w:rPr>
          <w:b w:val="0"/>
          <w:i w:val="0"/>
        </w:rPr>
        <w:t>min |Im s| = max_{y,a}|G(π⁻¹(y)∩q⁻¹(a))|</w:t>
      </w:r>
    </w:p>
    <w:p>
      <w:r>
        <w:rPr>
          <w:b w:val="0"/>
          <w:i w:val="0"/>
        </w:rPr>
        <w:t>Real(𝔽)={ℛ:𝒦_ℛ^(t)=𝔽^(t) ∀t}/≅</w:t>
      </w:r>
    </w:p>
    <w:p>
      <w:r>
        <w:rPr>
          <w:b w:val="0"/>
          <w:i w:val="0"/>
        </w:rPr>
        <w:t>CompDyn(𝔽)=Min_{≤prod}{(m,n_aux,e,T,L_𝔈(ℛ)):ℛ∈Real(𝔽)}</w:t>
      </w:r>
    </w:p>
    <w:p>
      <w:r>
        <w:rPr>
          <w:b w:val="0"/>
          <w:i w:val="0"/>
        </w:rPr>
        <w:t>p≡res q ⇔ ∀v, R(pv)=R(qv)</w:t>
      </w:r>
    </w:p>
    <w:p>
      <w:r>
        <w:rPr>
          <w:b w:val="0"/>
          <w:i w:val="0"/>
        </w:rPr>
        <w:t>𝒯⊆𝒯′ ⇒ ∼_N^𝒯′⊆∼_N^𝒯</w:t>
      </w:r>
    </w:p>
    <w:p>
      <w:pPr>
        <w:pStyle w:val="Heading1"/>
        <w:keepNext/>
      </w:pPr>
      <w:r>
        <w:t>Annexe D — Artefacts exécutés</w:t>
      </w:r>
    </w:p>
    <w:tbl>
      <w:tblPr>
        <w:tblW w:type="auto" w:w="0"/>
        <w:jc w:val="center"/>
        <w:tblLayout w:type="fixed"/>
        <w:tblLook w:firstColumn="1" w:firstRow="1" w:lastColumn="0" w:lastRow="0" w:noHBand="0" w:noVBand="1" w:val="04A0"/>
      </w:tblPr>
      <w:tblGrid>
        <w:gridCol w:w="4910"/>
        <w:gridCol w:w="4910"/>
      </w:tblGrid>
      <w:tr>
        <w:trPr>
          <w:tblHeader w:val="true"/>
          <w:cantSplit/>
          <w:tblHeader w:val="true"/>
        </w:trPr>
        <w:tc>
          <w:tcPr>
            <w:tcW w:type="dxa" w:w="216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Artefact</w:t>
            </w:r>
          </w:p>
        </w:tc>
        <w:tc>
          <w:tcPr>
            <w:tcW w:type="dxa" w:w="3960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SHA-256</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correctif_v0_9_1.py</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e6d2439d8acb959f2bd8b4156033573d7c8ee73fa9cf23488b6dd4d94e231c39</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correctif_v0_9_1_sorties.txt</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1ab6c5b43ade6a2e2397250358f4f2368078d3cf1828599728db5b0161838e7b</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witness_E4.py</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197d18c8915bdedf0baaff96f5d12b3bb730f8c570c3bbaf45b3c1e9a67f9c66</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witness_E4_sorties.txt</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9409f5cfdc438b37c8826ea57732d2b719eb944bd3bca6f510ff68865b9a80f1</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laboratoire_Z.py</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829fcf7d7dd3f989ee43ce4249e236ef0a359387f7fd97a83897968c28cdecee</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laboratoire_Z_sorties.txt</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a150c9f99832e631883149817cde8299b6d3ac970be8eb8b2e2bcc58258d3cc8</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laboratoire_R1_autonome.py</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94aef2aae5beb55485837e45c759813661f528ee8cd40804802b90974045df21</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laboratoire_R2.py</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fc8c17c0c62317d8d1b0713159c7c6520f2f35ed2795afa6c4eccc8a105c005b</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laboratoire_R2_sorties.txt</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c8361d02c338f08849a4bbc6fdf54bfc724343633959558faa908e6c90124285</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laboratoire_R2_bis.py</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6b3cf4fad087ab30173d68e4c4336826c523534fe442f6972de573637e0462e5</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laboratoire_R2_bis_sorties.txt</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aae5d6587992e43fd49a3024701ec4b1489345335bfc9eb5fdac6d890aae1444</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NDA_0_1_decisions_architecturales.pdf</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250f5b3a934197f833eb1b7923c8d7aed03a32ad38595f378ce6049c8fb4a903</w:t>
            </w:r>
          </w:p>
        </w:tc>
      </w:tr>
      <w:tr>
        <w:trPr>
          <w:cantSplit/>
        </w:trPr>
        <w:tc>
          <w:tcPr>
            <w:tcW w:type="dxa" w:w="2160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4"/>
              </w:rPr>
              <w:t>Specification_v0_2-T_noyau_type_de_transition.md</w:t>
            </w:r>
          </w:p>
        </w:tc>
        <w:tc>
          <w:tcPr>
            <w:tcW w:type="dxa" w:w="3960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4"/>
              </w:rPr>
              <w:t>9db0e4d1e4fa004b74b9c732698fa4bca61e322e50a2df4d9579ee50d2f6c7d7</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v0_2-R_S1_completion_echec_absorbant.md</w:t>
            </w:r>
          </w:p>
        </w:tc>
        <w:tc>
          <w:tcPr>
            <w:tcW w:type="dxa" w:w="4910"/>
            <w:vAlign w:val="center"/>
            <w:tcMar>
              <w:top w:w="120" w:type="dxa"/>
              <w:left w:w="100" w:type="dxa"/>
              <w:bottom w:w="120" w:type="dxa"/>
              <w:right w:w="100" w:type="dxa"/>
              <w:start w:w="150" w:type="dxa"/>
              <w:end w:w="150" w:type="dxa"/>
            </w:tcMar>
          </w:tcPr>
          <w:p>
            <w:pPr>
              <w:spacing w:after="40" w:line="252" w:lineRule="auto"/>
            </w:pPr>
            <w:r>
              <w:t>90898441e4ebabd35f910fea262d271b75b8bddc4e96f18501a711046406e4fc</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Etat_pistes_travail_2026-07-27.pdf</w:t>
            </w:r>
          </w:p>
        </w:tc>
        <w:tc>
          <w:tcPr>
            <w:tcW w:type="dxa" w:w="4910"/>
            <w:vAlign w:val="center"/>
            <w:tcMar>
              <w:top w:w="120" w:type="dxa"/>
              <w:left w:w="100" w:type="dxa"/>
              <w:bottom w:w="120" w:type="dxa"/>
              <w:right w:w="100" w:type="dxa"/>
              <w:start w:w="150" w:type="dxa"/>
              <w:end w:w="150" w:type="dxa"/>
            </w:tcMar>
          </w:tcPr>
          <w:p>
            <w:pPr>
              <w:spacing w:after="40" w:line="252" w:lineRule="auto"/>
            </w:pPr>
            <w:r>
              <w:t>4ec7e2e50d06e0afba4bec36eb42cf3b6d9381e4411eb848086feee7b5a480fd</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NDA_0_1_decisions_architecturales.pdf</w:t>
            </w:r>
          </w:p>
        </w:tc>
        <w:tc>
          <w:tcPr>
            <w:tcW w:type="dxa" w:w="4910"/>
            <w:vAlign w:val="center"/>
            <w:tcMar>
              <w:top w:w="120" w:type="dxa"/>
              <w:left w:w="100" w:type="dxa"/>
              <w:bottom w:w="120" w:type="dxa"/>
              <w:right w:w="100" w:type="dxa"/>
              <w:start w:w="150" w:type="dxa"/>
              <w:end w:w="150" w:type="dxa"/>
            </w:tcMar>
          </w:tcPr>
          <w:p>
            <w:pPr>
              <w:spacing w:after="40" w:line="252" w:lineRule="auto"/>
            </w:pPr>
            <w:r>
              <w:t>250f5b3a934197f833eb1b7923c8d7aed03a32ad38595f378ce6049c8fb4a903</w:t>
            </w:r>
          </w:p>
        </w:tc>
      </w:tr>
      <w:tr>
        <w:trPr>
          <w:cantSplit/>
        </w:trPr>
        <w:tc>
          <w:tcPr>
            <w:tcW w:type="dxa" w:w="4910"/>
            <w:vAlign w:val="center"/>
            <w:tcMar>
              <w:top w:w="120" w:type="dxa"/>
              <w:left w:w="100" w:type="dxa"/>
              <w:bottom w:w="120" w:type="dxa"/>
              <w:right w:w="100" w:type="dxa"/>
              <w:start w:w="150" w:type="dxa"/>
              <w:end w:w="150" w:type="dxa"/>
            </w:tcMar>
          </w:tcPr>
          <w:p>
            <w:pPr>
              <w:spacing w:after="40" w:line="252" w:lineRule="auto"/>
            </w:pPr>
            <w:r>
              <w:t>Specification_v0_2-T_noyau_type_de_transition.md</w:t>
            </w:r>
          </w:p>
        </w:tc>
        <w:tc>
          <w:tcPr>
            <w:tcW w:type="dxa" w:w="4910"/>
            <w:vAlign w:val="center"/>
            <w:tcMar>
              <w:top w:w="120" w:type="dxa"/>
              <w:left w:w="100" w:type="dxa"/>
              <w:bottom w:w="120" w:type="dxa"/>
              <w:right w:w="100" w:type="dxa"/>
              <w:start w:w="150" w:type="dxa"/>
              <w:end w:w="150" w:type="dxa"/>
            </w:tcMar>
          </w:tcPr>
          <w:p>
            <w:pPr>
              <w:spacing w:after="40" w:line="252" w:lineRule="auto"/>
            </w:pPr>
            <w:r>
              <w:t>9db0e4d1e4fa004b74b9c732698fa4bca61e322e50a2df4d9579ee50d2f6c7d7</w:t>
            </w:r>
          </w:p>
        </w:tc>
      </w:tr>
    </w:tbl>
    <w:p>
      <w:pPr>
        <w:spacing w:after="0"/>
      </w:pPr>
    </w:p>
    <w:p>
      <w:pPr>
        <w:pStyle w:val="Heading1"/>
        <w:keepNext/>
      </w:pPr>
      <w:r>
        <w:t>Annexe E — Décisions NDA-0.1</w:t>
      </w:r>
    </w:p>
    <w:tbl>
      <w:tblPr>
        <w:tblW w:type="auto" w:w="0"/>
        <w:jc w:val="center"/>
        <w:tblLayout w:type="fixed"/>
        <w:tblLook w:firstColumn="1" w:firstRow="1" w:lastColumn="0" w:lastRow="0" w:noHBand="0" w:noVBand="1" w:val="04A0"/>
      </w:tblPr>
      <w:tblGrid>
        <w:gridCol w:w="3274"/>
        <w:gridCol w:w="3274"/>
        <w:gridCol w:w="3274"/>
      </w:tblGrid>
      <w:tr>
        <w:trPr>
          <w:tblHeader w:val="true"/>
          <w:cantSplit/>
          <w:tblHeader w:val="true"/>
        </w:trPr>
        <w:tc>
          <w:tcPr>
            <w:tcW w:type="dxa" w:w="792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Décision</w:t>
            </w:r>
          </w:p>
        </w:tc>
        <w:tc>
          <w:tcPr>
            <w:tcW w:type="dxa" w:w="4212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Contenu</w:t>
            </w:r>
          </w:p>
        </w:tc>
        <w:tc>
          <w:tcPr>
            <w:tcW w:type="dxa" w:w="936000"/>
            <w:shd w:fill="DCE8E8"/>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ans" w:hAnsi="Liberation Sans" w:eastAsia="Liberation Sans"/>
                <w:b/>
                <w:i w:val="0"/>
                <w:color w:val="FFFFFF"/>
                <w:sz w:val="17"/>
              </w:rPr>
              <w:t>Statut</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D-1</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Trois couches irréductibles</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D-2</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Tour Gen→ExtReg→Obs</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D-3</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Séparation Rec/Recode/Restore/Verify/CertRep</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D-4</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Archives A₀/A₊</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D-5</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Budget courant dérivé</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D-6</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Reach/UReach/Ctrl</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D-7</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Monoïde de traces</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[T]</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D-8</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Retrait A5-normal ; sound/complete/min</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[R/P]</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D-9</w:t>
            </w:r>
          </w:p>
        </w:tc>
        <w:tc>
          <w:tcPr>
            <w:tcW w:type="dxa" w:w="4212000"/>
            <w:tcMar>
              <w:top w:w="120" w:type="dxa"/>
              <w:start w:w="150" w:type="dxa"/>
              <w:bottom w:w="120" w:type="dxa"/>
              <w:end w:w="150" w:type="dxa"/>
              <w:left w:w="100" w:type="dxa"/>
              <w:right w:w="100" w:type="dxa"/>
            </w:tcMar>
            <w:vAlign w:val="center"/>
          </w:tcPr>
          <w:p>
            <w:pPr>
              <w:spacing w:after="40"/>
            </w:pPr>
            <w:r>
              <w:t>R1-3 maintenu conditionnel : clôture, unicité élémentaire démontrée et traces distinctes</w:t>
            </w:r>
          </w:p>
        </w:tc>
        <w:tc>
          <w:tcPr>
            <w:tcW w:type="dxa" w:w="936000"/>
            <w:tcMar>
              <w:top w:w="120" w:type="dxa"/>
              <w:start w:w="150" w:type="dxa"/>
              <w:bottom w:w="120" w:type="dxa"/>
              <w:end w:w="150" w:type="dxa"/>
              <w:left w:w="100" w:type="dxa"/>
              <w:right w:w="100" w:type="dxa"/>
            </w:tcMar>
            <w:vAlign w:val="center"/>
          </w:tcPr>
          <w:p>
            <w:pPr>
              <w:spacing w:after="40"/>
            </w:pPr>
            <w:r>
              <w:t>[R/D sous hypothèses]</w:t>
            </w:r>
          </w:p>
        </w:tc>
      </w:tr>
      <w:tr>
        <w:trPr>
          <w:cantSplit/>
        </w:trPr>
        <w:tc>
          <w:tcPr>
            <w:tcW w:type="dxa" w:w="792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D-10</w:t>
            </w:r>
          </w:p>
        </w:tc>
        <w:tc>
          <w:tcPr>
            <w:tcW w:type="dxa" w:w="4212000"/>
            <w:tcMar>
              <w:top w:w="120" w:type="dxa"/>
              <w:start w:w="150" w:type="dxa"/>
              <w:bottom w:w="120" w:type="dxa"/>
              <w:end w:w="150" w:type="dxa"/>
              <w:left w:w="100" w:type="dxa"/>
              <w:right w:w="100" w:type="dxa"/>
            </w:tcMar>
            <w:vAlign w:val="center"/>
          </w:tcPr>
          <w:p>
            <w:pPr>
              <w:keepLines/>
              <w:spacing w:after="40" w:line="252" w:lineRule="auto"/>
              <w:jc w:val="left"/>
            </w:pPr>
            <w:r>
              <w:rPr>
                <w:rFonts w:ascii="Liberation Serif" w:hAnsi="Liberation Serif" w:eastAsia="Liberation Serif"/>
                <w:b w:val="0"/>
                <w:i w:val="0"/>
                <w:sz w:val="16"/>
              </w:rPr>
              <w:t>Retrait de Real universel</w:t>
            </w:r>
          </w:p>
        </w:tc>
        <w:tc>
          <w:tcPr>
            <w:tcW w:type="dxa" w:w="936000"/>
            <w:tcMar>
              <w:top w:w="120" w:type="dxa"/>
              <w:start w:w="150" w:type="dxa"/>
              <w:bottom w:w="120" w:type="dxa"/>
              <w:end w:w="150" w:type="dxa"/>
              <w:left w:w="100" w:type="dxa"/>
              <w:right w:w="100" w:type="dxa"/>
            </w:tcMar>
            <w:vAlign w:val="center"/>
          </w:tcPr>
          <w:p>
            <w:pPr>
              <w:keepLines/>
              <w:spacing w:after="40" w:line="252" w:lineRule="auto"/>
              <w:jc w:val="center"/>
            </w:pPr>
            <w:r>
              <w:rPr>
                <w:rFonts w:ascii="Liberation Serif" w:hAnsi="Liberation Serif" w:eastAsia="Liberation Serif"/>
                <w:b w:val="0"/>
                <w:i w:val="0"/>
                <w:sz w:val="16"/>
              </w:rPr>
              <w:t>[R]</w:t>
            </w:r>
          </w:p>
        </w:tc>
      </w:tr>
      <w:tr>
        <w:trPr>
          <w:cantSplit/>
        </w:trPr>
        <w:tc>
          <w:tcPr>
            <w:tcW w:type="dxa" w:w="3274"/>
            <w:tcMar>
              <w:top w:w="120" w:type="dxa"/>
              <w:start w:w="150" w:type="dxa"/>
              <w:bottom w:w="120" w:type="dxa"/>
              <w:end w:w="150" w:type="dxa"/>
            </w:tcMar>
            <w:vAlign w:val="center"/>
          </w:tcPr>
          <w:p>
            <w:pPr>
              <w:spacing w:after="40"/>
            </w:pPr>
            <w:r>
              <w:t>D-11</w:t>
            </w:r>
          </w:p>
        </w:tc>
        <w:tc>
          <w:tcPr>
            <w:tcW w:type="dxa" w:w="3274"/>
            <w:tcMar>
              <w:top w:w="120" w:type="dxa"/>
              <w:start w:w="150" w:type="dxa"/>
              <w:bottom w:w="120" w:type="dxa"/>
              <w:end w:w="150" w:type="dxa"/>
            </w:tcMar>
            <w:vAlign w:val="center"/>
          </w:tcPr>
          <w:p>
            <w:pPr>
              <w:spacing w:after="40"/>
            </w:pPr>
            <w:r>
              <w:t>Séparation obligatoire des statuts logiques, artefactuels et bibliographiques</w:t>
            </w:r>
          </w:p>
        </w:tc>
        <w:tc>
          <w:tcPr>
            <w:tcW w:type="dxa" w:w="3274"/>
            <w:tcMar>
              <w:top w:w="120" w:type="dxa"/>
              <w:start w:w="150" w:type="dxa"/>
              <w:bottom w:w="120" w:type="dxa"/>
              <w:end w:w="150" w:type="dxa"/>
            </w:tcMar>
            <w:vAlign w:val="center"/>
          </w:tcPr>
          <w:p>
            <w:pPr>
              <w:spacing w:after="40"/>
            </w:pPr>
            <w:r>
              <w:t>[R]</w:t>
            </w:r>
          </w:p>
        </w:tc>
      </w:tr>
      <w:tr>
        <w:trPr>
          <w:cantSplit/>
        </w:trPr>
        <w:tc>
          <w:tcPr>
            <w:tcW w:type="dxa" w:w="3274"/>
            <w:tcMar>
              <w:top w:w="120" w:type="dxa"/>
              <w:start w:w="150" w:type="dxa"/>
              <w:bottom w:w="120" w:type="dxa"/>
              <w:end w:w="150" w:type="dxa"/>
            </w:tcMar>
            <w:vAlign w:val="center"/>
          </w:tcPr>
          <w:p>
            <w:pPr>
              <w:spacing w:after="40"/>
            </w:pPr>
            <w:r>
              <w:t>D-12</w:t>
            </w:r>
          </w:p>
        </w:tc>
        <w:tc>
          <w:tcPr>
            <w:tcW w:type="dxa" w:w="3274"/>
            <w:tcMar>
              <w:top w:w="120" w:type="dxa"/>
              <w:start w:w="150" w:type="dxa"/>
              <w:bottom w:w="120" w:type="dxa"/>
              <w:end w:w="150" w:type="dxa"/>
            </w:tcMar>
            <w:vAlign w:val="center"/>
          </w:tcPr>
          <w:p>
            <w:pPr>
              <w:spacing w:after="40"/>
            </w:pPr>
            <w:r>
              <w:t>Fibre de réalisation et profil multicritère comme centre de la prochaine phase</w:t>
            </w:r>
          </w:p>
        </w:tc>
        <w:tc>
          <w:tcPr>
            <w:tcW w:type="dxa" w:w="3274"/>
            <w:tcMar>
              <w:top w:w="120" w:type="dxa"/>
              <w:start w:w="150" w:type="dxa"/>
              <w:bottom w:w="120" w:type="dxa"/>
              <w:end w:w="150" w:type="dxa"/>
            </w:tcMar>
            <w:vAlign w:val="center"/>
          </w:tcPr>
          <w:p>
            <w:pPr>
              <w:spacing w:after="40"/>
            </w:pPr>
            <w:r>
              <w:t>[R/P]</w:t>
            </w:r>
          </w:p>
        </w:tc>
      </w:tr>
    </w:tbl>
    <w:p>
      <w:pPr>
        <w:spacing w:after="0"/>
      </w:pPr>
    </w:p>
    <w:p>
      <w:pPr>
        <w:pStyle w:val="Heading1"/>
        <w:keepNext/>
      </w:pPr>
      <w:r>
        <w:t>Annexe F — Sources documentaires internes de consolidation</w:t>
      </w:r>
    </w:p>
    <w:p>
      <w:pPr>
        <w:pStyle w:val="ListBullet"/>
      </w:pPr>
      <w:r>
        <w:rPr>
          <w:rFonts w:ascii="Liberation Serif" w:hAnsi="Liberation Serif" w:eastAsia="Liberation Serif"/>
          <w:b w:val="0"/>
          <w:i w:val="0"/>
        </w:rPr>
        <w:t>These_Reconstruction_Provenance_Reprise_v0.10_consolidee.docx — base démonstrative consolidée.</w:t>
      </w:r>
    </w:p>
    <w:p>
      <w:pPr>
        <w:pStyle w:val="ListBullet"/>
      </w:pPr>
      <w:r>
        <w:rPr>
          <w:rFonts w:ascii="Liberation Serif" w:hAnsi="Liberation Serif" w:eastAsia="Liberation Serif"/>
          <w:b w:val="0"/>
          <w:i w:val="0"/>
        </w:rPr>
        <w:t>NDA_0_1_decisions_architecturales.pdf — décisions D-1 à D-10.</w:t>
      </w:r>
    </w:p>
    <w:p>
      <w:pPr>
        <w:pStyle w:val="ListBullet"/>
      </w:pPr>
      <w:r>
        <w:rPr>
          <w:rFonts w:ascii="Liberation Serif" w:hAnsi="Liberation Serif" w:eastAsia="Liberation Serif"/>
          <w:b w:val="0"/>
          <w:i w:val="0"/>
        </w:rPr>
        <w:t>Specification_v0_2-T_noyau_type_de_transition.md — archive de transition figée.</w:t>
      </w:r>
    </w:p>
    <w:p>
      <w:pPr>
        <w:pStyle w:val="ListBullet"/>
      </w:pPr>
      <w:r>
        <w:rPr>
          <w:rFonts w:ascii="Liberation Serif" w:hAnsi="Liberation Serif" w:eastAsia="Liberation Serif"/>
          <w:b w:val="0"/>
          <w:i w:val="0"/>
        </w:rPr>
        <w:t>Note_theorique_non_descente_capacitaire_v0_2.docx / .md — D1 à D4 et non-descente.</w:t>
      </w:r>
    </w:p>
    <w:p>
      <w:pPr>
        <w:pStyle w:val="ListBullet"/>
      </w:pPr>
      <w:r>
        <w:rPr>
          <w:rFonts w:ascii="Liberation Serif" w:hAnsi="Liberation Serif" w:eastAsia="Liberation Serif"/>
          <w:b w:val="0"/>
          <w:i w:val="0"/>
        </w:rPr>
        <w:t>Couret_Unification_Rapport_scientifique_approfondi_2026-07-27.docx — architecture générale et discipline des transports.</w:t>
      </w:r>
    </w:p>
    <w:p>
      <w:pPr>
        <w:pStyle w:val="ListBullet"/>
      </w:pPr>
      <w:r>
        <w:rPr>
          <w:rFonts w:ascii="Liberation Serif" w:hAnsi="Liberation Serif" w:eastAsia="Liberation Serif"/>
          <w:b w:val="0"/>
          <w:i w:val="0"/>
        </w:rPr>
        <w:t>Rapport_Darboux_Militon_TCA_2026-07-27.md — partitions invariantes et compression dynamique.</w:t>
      </w:r>
    </w:p>
    <w:p>
      <w:pPr>
        <w:pStyle w:val="ListBullet"/>
      </w:pPr>
      <w:r>
        <w:rPr>
          <w:rFonts w:ascii="Liberation Serif" w:hAnsi="Liberation Serif" w:eastAsia="Liberation Serif"/>
          <w:b w:val="0"/>
          <w:i w:val="0"/>
        </w:rPr>
        <w:t>Scripts et sorties listés en Annexe D.</w:t>
      </w:r>
    </w:p>
    <w:p>
      <w:pPr>
        <w:pStyle w:val="ListBullet"/>
      </w:pPr>
      <w:r>
        <w:t>These_Reconstruction_Provenance_Reprise_v0.11_A_avancee.docx — base cumulative immédiatement antérieure.</w:t>
      </w:r>
    </w:p>
    <w:p>
      <w:pPr>
        <w:pStyle w:val="ListBullet"/>
      </w:pPr>
      <w:r>
        <w:t>v0_2-R_S1_completion_echec_absorbant.md — LEM-B0 et garde de non-évasion.</w:t>
      </w:r>
    </w:p>
    <w:p>
      <w:pPr>
        <w:pStyle w:val="ListBullet"/>
      </w:pPr>
      <w:r>
        <w:t>Etat_pistes_travail_2026-07-27.pdf — compressibilité dynamique et première formulation de R1-3, désormais corrigée.</w:t>
      </w:r>
    </w:p>
    <w:p>
      <w:pPr>
        <w:pStyle w:val="ListBullet"/>
      </w:pPr>
      <w:r>
        <w:t>Présente consolidation v0.13-A — forme graphique, THM-D5, fibres de réalisation, CompDyn, dossier PA et correction conditionnelle de R1-3.</w:t>
      </w:r>
    </w:p>
    <w:p>
      <w:r>
        <w:br w:type="page"/>
      </w:r>
    </w:p>
    <w:p>
      <w:pPr>
        <w:pStyle w:val="Heading1"/>
        <w:keepNext/>
      </w:pPr>
      <w:r>
        <w:t>Annexe G — Matrice initiale de positionnement scientifique</w:t>
      </w:r>
    </w:p>
    <w:tbl>
      <w:tblPr>
        <w:tblW w:type="auto" w:w="0"/>
        <w:jc w:val="center"/>
        <w:tblLook w:firstColumn="1" w:firstRow="1" w:lastColumn="0" w:lastRow="0" w:noHBand="0" w:noVBand="1" w:val="04A0"/>
      </w:tblPr>
      <w:tblGrid>
        <w:gridCol w:w="2455"/>
        <w:gridCol w:w="2455"/>
        <w:gridCol w:w="2455"/>
        <w:gridCol w:w="2455"/>
      </w:tblGrid>
      <w:tr>
        <w:trPr>
          <w:tblHeader w:val="true"/>
          <w:cantSplit/>
        </w:trPr>
        <w:tc>
          <w:tcPr>
            <w:tcW w:type="dxa" w:w="2455"/>
            <w:shd w:fill="DCE6F1"/>
            <w:tcMar>
              <w:top w:w="120" w:type="dxa"/>
              <w:start w:w="150" w:type="dxa"/>
              <w:bottom w:w="120" w:type="dxa"/>
              <w:end w:w="150" w:type="dxa"/>
            </w:tcMar>
            <w:vAlign w:val="center"/>
          </w:tcPr>
          <w:p>
            <w:pPr>
              <w:spacing w:after="40"/>
            </w:pPr>
            <w:r>
              <w:rPr>
                <w:b/>
              </w:rPr>
              <w:t>Bloc</w:t>
            </w:r>
          </w:p>
        </w:tc>
        <w:tc>
          <w:tcPr>
            <w:tcW w:type="dxa" w:w="2455"/>
            <w:shd w:fill="DCE6F1"/>
            <w:tcMar>
              <w:top w:w="120" w:type="dxa"/>
              <w:start w:w="150" w:type="dxa"/>
              <w:bottom w:w="120" w:type="dxa"/>
              <w:end w:w="150" w:type="dxa"/>
            </w:tcMar>
            <w:vAlign w:val="center"/>
          </w:tcPr>
          <w:p>
            <w:pPr>
              <w:spacing w:after="40"/>
            </w:pPr>
            <w:r>
              <w:rPr>
                <w:b/>
              </w:rPr>
              <w:t>Voisinage prioritaire</w:t>
            </w:r>
          </w:p>
        </w:tc>
        <w:tc>
          <w:tcPr>
            <w:tcW w:type="dxa" w:w="2455"/>
            <w:shd w:fill="DCE6F1"/>
            <w:tcMar>
              <w:top w:w="120" w:type="dxa"/>
              <w:start w:w="150" w:type="dxa"/>
              <w:bottom w:w="120" w:type="dxa"/>
              <w:end w:w="150" w:type="dxa"/>
            </w:tcMar>
            <w:vAlign w:val="center"/>
          </w:tcPr>
          <w:p>
            <w:pPr>
              <w:spacing w:after="40"/>
            </w:pPr>
            <w:r>
              <w:rPr>
                <w:b/>
              </w:rPr>
              <w:t>Statut v0.13-A</w:t>
            </w:r>
          </w:p>
        </w:tc>
        <w:tc>
          <w:tcPr>
            <w:tcW w:type="dxa" w:w="2455"/>
            <w:shd w:fill="DCE6F1"/>
            <w:tcMar>
              <w:top w:w="120" w:type="dxa"/>
              <w:start w:w="150" w:type="dxa"/>
              <w:bottom w:w="120" w:type="dxa"/>
              <w:end w:w="150" w:type="dxa"/>
            </w:tcMar>
            <w:vAlign w:val="center"/>
          </w:tcPr>
          <w:p>
            <w:pPr>
              <w:spacing w:after="40"/>
            </w:pPr>
            <w:r>
              <w:rPr>
                <w:b/>
              </w:rPr>
              <w:t>Question résiduelle</w:t>
            </w:r>
          </w:p>
        </w:tc>
      </w:tr>
      <w:tr>
        <w:trPr>
          <w:cantSplit/>
        </w:trPr>
        <w:tc>
          <w:tcPr>
            <w:tcW w:type="dxa" w:w="2455"/>
            <w:tcMar>
              <w:top w:w="120" w:type="dxa"/>
              <w:start w:w="150" w:type="dxa"/>
              <w:bottom w:w="120" w:type="dxa"/>
              <w:end w:w="150" w:type="dxa"/>
            </w:tcMar>
            <w:vAlign w:val="center"/>
          </w:tcPr>
          <w:p>
            <w:pPr>
              <w:spacing w:after="40"/>
            </w:pPr>
            <w:r>
              <w:t>THM-F0 / L1</w:t>
            </w:r>
          </w:p>
        </w:tc>
        <w:tc>
          <w:tcPr>
            <w:tcW w:type="dxa" w:w="2455"/>
            <w:tcMar>
              <w:top w:w="120" w:type="dxa"/>
              <w:start w:w="150" w:type="dxa"/>
              <w:bottom w:w="120" w:type="dxa"/>
              <w:end w:w="150" w:type="dxa"/>
            </w:tcMar>
            <w:vAlign w:val="center"/>
          </w:tcPr>
          <w:p>
            <w:pPr>
              <w:spacing w:after="40"/>
            </w:pPr>
            <w:r>
              <w:t>Quotients, partitions, relations d’équivalence</w:t>
            </w:r>
          </w:p>
        </w:tc>
        <w:tc>
          <w:tcPr>
            <w:tcW w:type="dxa" w:w="2455"/>
            <w:tcMar>
              <w:top w:w="120" w:type="dxa"/>
              <w:start w:w="150" w:type="dxa"/>
              <w:bottom w:w="120" w:type="dxa"/>
              <w:end w:w="150" w:type="dxa"/>
            </w:tcMar>
            <w:vAlign w:val="center"/>
          </w:tcPr>
          <w:p>
            <w:pPr>
              <w:spacing w:after="40"/>
            </w:pPr>
            <w:r>
              <w:t>Fondation classique probable</w:t>
            </w:r>
          </w:p>
        </w:tc>
        <w:tc>
          <w:tcPr>
            <w:tcW w:type="dxa" w:w="2455"/>
            <w:tcMar>
              <w:top w:w="120" w:type="dxa"/>
              <w:start w:w="150" w:type="dxa"/>
              <w:bottom w:w="120" w:type="dxa"/>
              <w:end w:w="150" w:type="dxa"/>
            </w:tcMar>
            <w:vAlign w:val="center"/>
          </w:tcPr>
          <w:p>
            <w:pPr>
              <w:spacing w:after="40"/>
            </w:pPr>
            <w:r>
              <w:t>Le sous-poset admissible porte-t-il un delta précis ?</w:t>
            </w:r>
          </w:p>
        </w:tc>
      </w:tr>
      <w:tr>
        <w:trPr>
          <w:cantSplit/>
        </w:trPr>
        <w:tc>
          <w:tcPr>
            <w:tcW w:type="dxa" w:w="2455"/>
            <w:tcMar>
              <w:top w:w="120" w:type="dxa"/>
              <w:start w:w="150" w:type="dxa"/>
              <w:bottom w:w="120" w:type="dxa"/>
              <w:end w:w="150" w:type="dxa"/>
            </w:tcMar>
            <w:vAlign w:val="center"/>
          </w:tcPr>
          <w:p>
            <w:pPr>
              <w:spacing w:after="40"/>
            </w:pPr>
            <w:r>
              <w:t>THM-L9</w:t>
            </w:r>
          </w:p>
        </w:tc>
        <w:tc>
          <w:tcPr>
            <w:tcW w:type="dxa" w:w="2455"/>
            <w:tcMar>
              <w:top w:w="120" w:type="dxa"/>
              <w:start w:w="150" w:type="dxa"/>
              <w:bottom w:w="120" w:type="dxa"/>
              <w:end w:w="150" w:type="dxa"/>
            </w:tcMar>
            <w:vAlign w:val="center"/>
          </w:tcPr>
          <w:p>
            <w:pPr>
              <w:spacing w:after="40"/>
            </w:pPr>
            <w:r>
              <w:t>Coloration zéro erreur / graphes de confusion</w:t>
            </w:r>
          </w:p>
        </w:tc>
        <w:tc>
          <w:tcPr>
            <w:tcW w:type="dxa" w:w="2455"/>
            <w:tcMar>
              <w:top w:w="120" w:type="dxa"/>
              <w:start w:w="150" w:type="dxa"/>
              <w:bottom w:w="120" w:type="dxa"/>
              <w:end w:w="150" w:type="dxa"/>
            </w:tcMar>
            <w:vAlign w:val="center"/>
          </w:tcPr>
          <w:p>
            <w:pPr>
              <w:spacing w:after="40"/>
            </w:pPr>
            <w:r>
              <w:t>Traduction exacte établie</w:t>
            </w:r>
          </w:p>
        </w:tc>
        <w:tc>
          <w:tcPr>
            <w:tcW w:type="dxa" w:w="2455"/>
            <w:tcMar>
              <w:top w:w="120" w:type="dxa"/>
              <w:start w:w="150" w:type="dxa"/>
              <w:bottom w:w="120" w:type="dxa"/>
              <w:end w:w="150" w:type="dxa"/>
            </w:tcMar>
            <w:vAlign w:val="center"/>
          </w:tcPr>
          <w:p>
            <w:pPr>
              <w:spacing w:after="40"/>
            </w:pPr>
            <w:r>
              <w:t>Quels raffinements ordonnés dépassent le coût chromatique ?</w:t>
            </w:r>
          </w:p>
        </w:tc>
      </w:tr>
      <w:tr>
        <w:trPr>
          <w:cantSplit/>
        </w:trPr>
        <w:tc>
          <w:tcPr>
            <w:tcW w:type="dxa" w:w="2455"/>
            <w:tcMar>
              <w:top w:w="120" w:type="dxa"/>
              <w:start w:w="150" w:type="dxa"/>
              <w:bottom w:w="120" w:type="dxa"/>
              <w:end w:w="150" w:type="dxa"/>
            </w:tcMar>
            <w:vAlign w:val="center"/>
          </w:tcPr>
          <w:p>
            <w:pPr>
              <w:spacing w:after="40"/>
            </w:pPr>
            <w:r>
              <w:t>D3b / D5</w:t>
            </w:r>
          </w:p>
        </w:tc>
        <w:tc>
          <w:tcPr>
            <w:tcW w:type="dxa" w:w="2455"/>
            <w:tcMar>
              <w:top w:w="120" w:type="dxa"/>
              <w:start w:w="150" w:type="dxa"/>
              <w:bottom w:w="120" w:type="dxa"/>
              <w:end w:w="150" w:type="dxa"/>
            </w:tcMar>
            <w:vAlign w:val="center"/>
          </w:tcPr>
          <w:p>
            <w:pPr>
              <w:spacing w:after="40"/>
            </w:pPr>
            <w:r>
              <w:t>Recodage, information latérale, coloration conditionnelle</w:t>
            </w:r>
          </w:p>
        </w:tc>
        <w:tc>
          <w:tcPr>
            <w:tcW w:type="dxa" w:w="2455"/>
            <w:tcMar>
              <w:top w:w="120" w:type="dxa"/>
              <w:start w:w="150" w:type="dxa"/>
              <w:bottom w:w="120" w:type="dxa"/>
              <w:end w:w="150" w:type="dxa"/>
            </w:tcMar>
            <w:vAlign w:val="center"/>
          </w:tcPr>
          <w:p>
            <w:pPr>
              <w:spacing w:after="40"/>
            </w:pPr>
            <w:r>
              <w:t>Deux coûts désormais séparés</w:t>
            </w:r>
          </w:p>
        </w:tc>
        <w:tc>
          <w:tcPr>
            <w:tcW w:type="dxa" w:w="2455"/>
            <w:tcMar>
              <w:top w:w="120" w:type="dxa"/>
              <w:start w:w="150" w:type="dxa"/>
              <w:bottom w:w="120" w:type="dxa"/>
              <w:end w:w="150" w:type="dxa"/>
            </w:tcMar>
            <w:vAlign w:val="center"/>
          </w:tcPr>
          <w:p>
            <w:pPr>
              <w:spacing w:after="40"/>
            </w:pPr>
            <w:r>
              <w:t>Antériorité de la formule du résidu concret</w:t>
            </w:r>
          </w:p>
        </w:tc>
      </w:tr>
      <w:tr>
        <w:trPr>
          <w:cantSplit/>
        </w:trPr>
        <w:tc>
          <w:tcPr>
            <w:tcW w:type="dxa" w:w="2455"/>
            <w:tcMar>
              <w:top w:w="120" w:type="dxa"/>
              <w:start w:w="150" w:type="dxa"/>
              <w:bottom w:w="120" w:type="dxa"/>
              <w:end w:w="150" w:type="dxa"/>
            </w:tcMar>
            <w:vAlign w:val="center"/>
          </w:tcPr>
          <w:p>
            <w:pPr>
              <w:spacing w:after="40"/>
            </w:pPr>
            <w:r>
              <w:t>Reach/UReach/Ctrl</w:t>
            </w:r>
          </w:p>
        </w:tc>
        <w:tc>
          <w:tcPr>
            <w:tcW w:type="dxa" w:w="2455"/>
            <w:tcMar>
              <w:top w:w="120" w:type="dxa"/>
              <w:start w:w="150" w:type="dxa"/>
              <w:bottom w:w="120" w:type="dxa"/>
              <w:end w:w="150" w:type="dxa"/>
            </w:tcMar>
            <w:vAlign w:val="center"/>
          </w:tcPr>
          <w:p>
            <w:pPr>
              <w:spacing w:after="40"/>
            </w:pPr>
            <w:r>
              <w:t>Planification conforme et conditionnelle, contrôle partiel</w:t>
            </w:r>
          </w:p>
        </w:tc>
        <w:tc>
          <w:tcPr>
            <w:tcW w:type="dxa" w:w="2455"/>
            <w:tcMar>
              <w:top w:w="120" w:type="dxa"/>
              <w:start w:w="150" w:type="dxa"/>
              <w:bottom w:w="120" w:type="dxa"/>
              <w:end w:w="150" w:type="dxa"/>
            </w:tcMar>
            <w:vAlign w:val="center"/>
          </w:tcPr>
          <w:p>
            <w:pPr>
              <w:spacing w:after="40"/>
            </w:pPr>
            <w:r>
              <w:t>Prédicats voisins connus</w:t>
            </w:r>
          </w:p>
        </w:tc>
        <w:tc>
          <w:tcPr>
            <w:tcW w:type="dxa" w:w="2455"/>
            <w:tcMar>
              <w:top w:w="120" w:type="dxa"/>
              <w:start w:w="150" w:type="dxa"/>
              <w:bottom w:w="120" w:type="dxa"/>
              <w:end w:w="150" w:type="dxa"/>
            </w:tcMar>
            <w:vAlign w:val="center"/>
          </w:tcPr>
          <w:p>
            <w:pPr>
              <w:spacing w:after="40"/>
            </w:pPr>
            <w:r>
              <w:t>Delta de la filtration globale et des échanges information–horizon</w:t>
            </w:r>
          </w:p>
        </w:tc>
      </w:tr>
      <w:tr>
        <w:trPr>
          <w:cantSplit/>
        </w:trPr>
        <w:tc>
          <w:tcPr>
            <w:tcW w:type="dxa" w:w="2455"/>
            <w:tcMar>
              <w:top w:w="120" w:type="dxa"/>
              <w:start w:w="150" w:type="dxa"/>
              <w:bottom w:w="120" w:type="dxa"/>
              <w:end w:w="150" w:type="dxa"/>
            </w:tcMar>
            <w:vAlign w:val="center"/>
          </w:tcPr>
          <w:p>
            <w:pPr>
              <w:spacing w:after="40"/>
            </w:pPr>
            <w:r>
              <w:t>THM-B-FILT</w:t>
            </w:r>
          </w:p>
        </w:tc>
        <w:tc>
          <w:tcPr>
            <w:tcW w:type="dxa" w:w="2455"/>
            <w:tcMar>
              <w:top w:w="120" w:type="dxa"/>
              <w:start w:w="150" w:type="dxa"/>
              <w:bottom w:w="120" w:type="dxa"/>
              <w:end w:w="150" w:type="dxa"/>
            </w:tcMar>
            <w:vAlign w:val="center"/>
          </w:tcPr>
          <w:p>
            <w:pPr>
              <w:spacing w:after="40"/>
            </w:pPr>
            <w:r>
              <w:t>Synthèse de systèmes, automates, représentations de familles</w:t>
            </w:r>
          </w:p>
        </w:tc>
        <w:tc>
          <w:tcPr>
            <w:tcW w:type="dxa" w:w="2455"/>
            <w:tcMar>
              <w:top w:w="120" w:type="dxa"/>
              <w:start w:w="150" w:type="dxa"/>
              <w:bottom w:w="120" w:type="dxa"/>
              <w:end w:w="150" w:type="dxa"/>
            </w:tcMar>
            <w:vAlign w:val="center"/>
          </w:tcPr>
          <w:p>
            <w:pPr>
              <w:spacing w:after="40"/>
            </w:pPr>
            <w:r>
              <w:t>Réalisation démontrée ; PA indécidé</w:t>
            </w:r>
          </w:p>
        </w:tc>
        <w:tc>
          <w:tcPr>
            <w:tcW w:type="dxa" w:w="2455"/>
            <w:tcMar>
              <w:top w:w="120" w:type="dxa"/>
              <w:start w:w="150" w:type="dxa"/>
              <w:bottom w:w="120" w:type="dxa"/>
              <w:end w:w="150" w:type="dxa"/>
            </w:tcMar>
            <w:vAlign w:val="center"/>
          </w:tcPr>
          <w:p>
            <w:pPr>
              <w:spacing w:after="40"/>
            </w:pPr>
            <w:r>
              <w:t>Complexité minimale et classes restreintes de régimes</w:t>
            </w:r>
          </w:p>
        </w:tc>
      </w:tr>
      <w:tr>
        <w:trPr>
          <w:cantSplit/>
        </w:trPr>
        <w:tc>
          <w:tcPr>
            <w:tcW w:type="dxa" w:w="2455"/>
            <w:tcMar>
              <w:top w:w="120" w:type="dxa"/>
              <w:start w:w="150" w:type="dxa"/>
              <w:bottom w:w="120" w:type="dxa"/>
              <w:end w:w="150" w:type="dxa"/>
            </w:tcMar>
            <w:vAlign w:val="center"/>
          </w:tcPr>
          <w:p>
            <w:pPr>
              <w:spacing w:after="40"/>
            </w:pPr>
            <w:r>
              <w:t>CompDyn / résidus</w:t>
            </w:r>
          </w:p>
        </w:tc>
        <w:tc>
          <w:tcPr>
            <w:tcW w:type="dxa" w:w="2455"/>
            <w:tcMar>
              <w:top w:w="120" w:type="dxa"/>
              <w:start w:w="150" w:type="dxa"/>
              <w:bottom w:w="120" w:type="dxa"/>
              <w:end w:w="150" w:type="dxa"/>
            </w:tcMar>
            <w:vAlign w:val="center"/>
          </w:tcPr>
          <w:p>
            <w:pPr>
              <w:spacing w:after="40"/>
            </w:pPr>
            <w:r>
              <w:t>Minimisation, automates, DAG et partage de calcul</w:t>
            </w:r>
          </w:p>
        </w:tc>
        <w:tc>
          <w:tcPr>
            <w:tcW w:type="dxa" w:w="2455"/>
            <w:tcMar>
              <w:top w:w="120" w:type="dxa"/>
              <w:start w:w="150" w:type="dxa"/>
              <w:bottom w:w="120" w:type="dxa"/>
              <w:end w:w="150" w:type="dxa"/>
            </w:tcMar>
            <w:vAlign w:val="center"/>
          </w:tcPr>
          <w:p>
            <w:pPr>
              <w:spacing w:after="40"/>
            </w:pPr>
            <w:r>
              <w:t>Programme structurel nouveau dans le manuscrit</w:t>
            </w:r>
          </w:p>
        </w:tc>
        <w:tc>
          <w:tcPr>
            <w:tcW w:type="dxa" w:w="2455"/>
            <w:tcMar>
              <w:top w:w="120" w:type="dxa"/>
              <w:start w:w="150" w:type="dxa"/>
              <w:bottom w:w="120" w:type="dxa"/>
              <w:end w:w="150" w:type="dxa"/>
            </w:tcMar>
            <w:vAlign w:val="center"/>
          </w:tcPr>
          <w:p>
            <w:pPr>
              <w:spacing w:after="40"/>
            </w:pPr>
            <w:r>
              <w:t>Bornes serrées et invariance sous encodage</w:t>
            </w:r>
          </w:p>
        </w:tc>
      </w:tr>
      <w:tr>
        <w:trPr>
          <w:cantSplit/>
        </w:trPr>
        <w:tc>
          <w:tcPr>
            <w:tcW w:type="dxa" w:w="2455"/>
            <w:tcMar>
              <w:top w:w="120" w:type="dxa"/>
              <w:start w:w="150" w:type="dxa"/>
              <w:bottom w:w="120" w:type="dxa"/>
              <w:end w:w="150" w:type="dxa"/>
            </w:tcMar>
            <w:vAlign w:val="center"/>
          </w:tcPr>
          <w:p>
            <w:pPr>
              <w:spacing w:after="40"/>
            </w:pPr>
            <w:r>
              <w:t>R1-2 / R1-3</w:t>
            </w:r>
          </w:p>
        </w:tc>
        <w:tc>
          <w:tcPr>
            <w:tcW w:type="dxa" w:w="2455"/>
            <w:tcMar>
              <w:top w:w="120" w:type="dxa"/>
              <w:start w:w="150" w:type="dxa"/>
              <w:bottom w:w="120" w:type="dxa"/>
              <w:end w:w="150" w:type="dxa"/>
            </w:tcMar>
            <w:vAlign w:val="center"/>
          </w:tcPr>
          <w:p>
            <w:pPr>
              <w:spacing w:after="40"/>
            </w:pPr>
            <w:r>
              <w:t>Traces, systèmes d’événements, extensions et sections</w:t>
            </w:r>
          </w:p>
        </w:tc>
        <w:tc>
          <w:tcPr>
            <w:tcW w:type="dxa" w:w="2455"/>
            <w:tcMar>
              <w:top w:w="120" w:type="dxa"/>
              <w:start w:w="150" w:type="dxa"/>
              <w:bottom w:w="120" w:type="dxa"/>
              <w:end w:w="150" w:type="dxa"/>
            </w:tcMar>
            <w:vAlign w:val="center"/>
          </w:tcPr>
          <w:p>
            <w:pPr>
              <w:spacing w:after="40"/>
            </w:pPr>
            <w:r>
              <w:t>R1-3 conditionnel</w:t>
            </w:r>
          </w:p>
        </w:tc>
        <w:tc>
          <w:tcPr>
            <w:tcW w:type="dxa" w:w="2455"/>
            <w:tcMar>
              <w:top w:w="120" w:type="dxa"/>
              <w:start w:w="150" w:type="dxa"/>
              <w:bottom w:w="120" w:type="dxa"/>
              <w:end w:w="150" w:type="dxa"/>
            </w:tcMar>
            <w:vAlign w:val="center"/>
          </w:tcPr>
          <w:p>
            <w:pPr>
              <w:spacing w:after="40"/>
            </w:pPr>
            <w:r>
              <w:t>Unicité élémentaire et obstruction globale</w:t>
            </w:r>
          </w:p>
        </w:tc>
      </w:tr>
      <w:tr>
        <w:trPr>
          <w:cantSplit/>
        </w:trPr>
        <w:tc>
          <w:tcPr>
            <w:tcW w:type="dxa" w:w="2455"/>
            <w:tcMar>
              <w:top w:w="120" w:type="dxa"/>
              <w:start w:w="150" w:type="dxa"/>
              <w:bottom w:w="120" w:type="dxa"/>
              <w:end w:w="150" w:type="dxa"/>
            </w:tcMar>
            <w:vAlign w:val="center"/>
          </w:tcPr>
          <w:p>
            <w:pPr>
              <w:spacing w:after="40"/>
            </w:pPr>
            <w:r>
              <w:t>Principe des fibres</w:t>
            </w:r>
          </w:p>
        </w:tc>
        <w:tc>
          <w:tcPr>
            <w:tcW w:type="dxa" w:w="2455"/>
            <w:tcMar>
              <w:top w:w="120" w:type="dxa"/>
              <w:start w:w="150" w:type="dxa"/>
              <w:bottom w:w="120" w:type="dxa"/>
              <w:end w:w="150" w:type="dxa"/>
            </w:tcMar>
            <w:vAlign w:val="center"/>
          </w:tcPr>
          <w:p>
            <w:pPr>
              <w:spacing w:after="40"/>
            </w:pPr>
            <w:r>
              <w:t>Théories de réalisation et non-canonicité</w:t>
            </w:r>
          </w:p>
        </w:tc>
        <w:tc>
          <w:tcPr>
            <w:tcW w:type="dxa" w:w="2455"/>
            <w:tcMar>
              <w:top w:w="120" w:type="dxa"/>
              <w:start w:w="150" w:type="dxa"/>
              <w:bottom w:w="120" w:type="dxa"/>
              <w:end w:w="150" w:type="dxa"/>
            </w:tcMar>
            <w:vAlign w:val="center"/>
          </w:tcPr>
          <w:p>
            <w:pPr>
              <w:spacing w:after="40"/>
            </w:pPr>
            <w:r>
              <w:t>Thèse transversale</w:t>
            </w:r>
          </w:p>
        </w:tc>
        <w:tc>
          <w:tcPr>
            <w:tcW w:type="dxa" w:w="2455"/>
            <w:tcMar>
              <w:top w:w="120" w:type="dxa"/>
              <w:start w:w="150" w:type="dxa"/>
              <w:bottom w:w="120" w:type="dxa"/>
              <w:end w:w="150" w:type="dxa"/>
            </w:tcMar>
            <w:vAlign w:val="center"/>
          </w:tcPr>
          <w:p>
            <w:pPr>
              <w:spacing w:after="40"/>
            </w:pPr>
            <w:r>
              <w:t>Formuler les morphismes communs sans fusionner les couches</w:t>
            </w:r>
          </w:p>
        </w:tc>
      </w:tr>
    </w:tbl>
    <w:p>
      <w:pPr>
        <w:pStyle w:val="Heading1"/>
        <w:keepNext/>
      </w:pPr>
      <w:r>
        <w:t>Annexe H — Schéma du dossier PriorArtRecord</w:t>
      </w:r>
    </w:p>
    <w:tbl>
      <w:tblPr>
        <w:tblW w:type="auto" w:w="0"/>
        <w:jc w:val="center"/>
        <w:tblLook w:firstColumn="1" w:firstRow="1" w:lastColumn="0" w:lastRow="0" w:noHBand="0" w:noVBand="1" w:val="04A0"/>
      </w:tblPr>
      <w:tblGrid>
        <w:gridCol w:w="9821"/>
      </w:tblGrid>
      <w:tr>
        <w:tc>
          <w:tcPr>
            <w:tcW w:type="dxa" w:w="9821"/>
            <w:tcMar>
              <w:top w:w="120" w:type="dxa"/>
              <w:start w:w="150" w:type="dxa"/>
              <w:bottom w:w="120" w:type="dxa"/>
              <w:end w:w="150" w:type="dxa"/>
            </w:tcMar>
            <w:shd w:fill="E7EEF8"/>
            <w:vAlign w:val="center"/>
          </w:tcPr>
          <w:p>
            <w:pPr>
              <w:spacing w:after="40"/>
            </w:pPr>
            <w:r/>
            <w:r>
              <w:rPr>
                <w:b/>
              </w:rPr>
              <w:t>PA(T;𝒞,t,σ)</w:t>
            </w:r>
          </w:p>
          <w:p>
            <w:pPr>
              <w:spacing w:before="60" w:after="40"/>
            </w:pPr>
            <w:r>
              <w:t>Enregistrement relatif de la recherche d’antériorité d’un énoncé T dans un corpus 𝒞, à la date t, suivant un protocole σ. Il ne produit jamais un booléen définitif « nouveau ». Champs minimaux : PriorArtStatus, NearestKnownResult, ExactOverlap, NoveltyDelta, SearchQueries, VocabularyMap, SearchScope, SearchDate, NegativeSearches, UnresolvedRisks.</w:t>
            </w:r>
          </w:p>
        </w:tc>
      </w:tr>
    </w:tbl>
    <w:p>
      <w:pPr>
        <w:pageBreakBefore/>
      </w:pPr>
    </w:p>
    <w:p>
      <w:pPr>
        <w:pStyle w:val="Heading1"/>
      </w:pPr>
      <w:r>
        <w:t>PARTIE VII — CAPACITÉS DE REPRISE ET PROGRAMME CUMULATIF</w:t>
      </w:r>
    </w:p>
    <w:p>
      <w:pPr>
        <w:pStyle w:val="ConsolidationNote"/>
      </w:pPr>
      <w:r>
        <w:t>Consolidation doctorale du 21 août 2026 — ajout prospectif statué ; aucune promotion rétroactive des résultats des Parties I à IV.</w:t>
      </w:r>
    </w:p>
    <w:tbl>
      <w:tblPr>
        <w:tblW w:type="auto" w:w="0"/>
        <w:tblLook w:firstColumn="1" w:firstRow="1" w:lastColumn="0" w:lastRow="0" w:noHBand="0" w:noVBand="1" w:val="04A0"/>
      </w:tblPr>
      <w:tblGrid>
        <w:gridCol w:w="9994"/>
      </w:tblGrid>
      <w:tr>
        <w:tc>
          <w:tcPr>
            <w:tcW w:type="dxa" w:w="9994"/>
            <w:shd w:fill="FFF4CE"/>
            <w:tcMar>
              <w:top w:w="140" w:type="dxa"/>
              <w:start w:w="160" w:type="dxa"/>
              <w:bottom w:w="140" w:type="dxa"/>
              <w:end w:w="160" w:type="dxa"/>
            </w:tcMar>
            <w:vAlign w:val="center"/>
          </w:tcPr>
          <w:p>
            <w:r>
              <w:rPr>
                <w:b/>
                <w:color w:val="1F4E79"/>
              </w:rPr>
              <w:t xml:space="preserve">Règle d’intégration — </w:t>
            </w:r>
            <w:r>
              <w:t>Les résultats déjà démontrés dans le cadre fini conservent leur statut. Les nouveaux objets capacitaires sont introduits comme [D-cand] lorsqu’ils sont seulement définis, et [H] lorsqu’ils expriment une hypothèse falsifiable. Aucun de ces ajouts n’établit une théorie générale des systèmes.</w:t>
            </w:r>
          </w:p>
        </w:tc>
      </w:tr>
    </w:tbl>
    <w:p/>
    <w:p>
      <w:pPr>
        <w:pStyle w:val="Heading1"/>
      </w:pPr>
      <w:r>
        <w:t>Chapitre 20 — De la restauration à la structure des futurs</w:t>
      </w:r>
    </w:p>
    <w:p>
      <w:pPr>
        <w:pStyle w:val="Heading2"/>
      </w:pPr>
      <w:r>
        <w:t>20.1 Question nouvelle</w:t>
      </w:r>
    </w:p>
    <w:p>
      <w:r>
        <w:t>Les parties antérieures distinguent reconstruction des valeurs, restauration opératoire et provenance des chemins. La question capacitaire demande désormais si deux états indistinguables par les observables présentes peuvent différer par les possibilités de reconstruction, de restauration ou de transformation qui leur restent accessibles.</w:t>
      </w:r>
    </w:p>
    <w:p>
      <w:r>
        <w:t>Cette question ne remplace pas Reach, UReach ou Ctrl ; elle étudie la structure de leurs prolongements sous un régime explicite de ressources, actions et horizons.</w:t>
      </w:r>
    </w:p>
    <w:p>
      <w:pPr>
        <w:pStyle w:val="Heading2"/>
      </w:pPr>
      <w:r>
        <w:t>20.2 Objet capacitaire minimal [D-cand]</w:t>
      </w:r>
    </w:p>
    <w:p>
      <w:r>
        <w:t>Pour un état x dans un régime ℛ explicitement fixé, on introduit provisoirement :</w:t>
      </w:r>
    </w:p>
    <w:p>
      <w:pPr>
        <w:jc w:val="center"/>
      </w:pPr>
      <w:r>
        <w:rPr>
          <w:b/>
          <w:color w:val="1F4E79"/>
          <w:sz w:val="26"/>
        </w:rPr>
        <w:t>C_ℛ(x) = (Rₓ, Pₓ, cₓ, Oₓ)</w:t>
      </w:r>
    </w:p>
    <w:p>
      <w:pPr>
        <w:pStyle w:val="ListBullet"/>
      </w:pPr>
      <w:r>
        <w:t>Rₓ : cibles ou classes de cibles accessibles ;</w:t>
      </w:r>
    </w:p>
    <w:p>
      <w:pPr>
        <w:pStyle w:val="ListBullet"/>
      </w:pPr>
      <w:r>
        <w:t>Pₓ : chemins, plans ou transports admissibles ;</w:t>
      </w:r>
    </w:p>
    <w:p>
      <w:pPr>
        <w:pStyle w:val="ListBullet"/>
      </w:pPr>
      <w:r>
        <w:t>cₓ : coûts, budgets, temps et ressources associés ;</w:t>
      </w:r>
    </w:p>
    <w:p>
      <w:pPr>
        <w:pStyle w:val="ListBullet"/>
      </w:pPr>
      <w:r>
        <w:t>Oₓ : obstructions, dépendances communes et conditions de non-reprise.</w:t>
      </w:r>
    </w:p>
    <w:p>
      <w:r>
        <w:t>C_ℛ(x) est une définition de travail. Sa catégorie naturelle, ses isomorphismes et ses invariants doivent être construits sur un modèle fini avant toute extension continue ou géométrique.</w:t>
      </w:r>
    </w:p>
    <w:p>
      <w:pPr>
        <w:pStyle w:val="Heading2"/>
      </w:pPr>
      <w:r>
        <w:t>20.3 Équivalence capacitaire [D-cand]</w:t>
      </w:r>
    </w:p>
    <w:p>
      <w:r>
        <w:t>On écrira x ~_C y lorsque C_ℛ(x) et C_ℛ(y) sont isomorphes dans une catégorie de modèles préalablement choisie. Le premier banc d’essai recommandé est un graphe orienté fini, étiqueté et pondéré. L’égalité naïve de C(x) doit être évitée lorsque les états vivent dans des représentations différentes.</w:t>
      </w:r>
    </w:p>
    <w:p>
      <w:pPr>
        <w:pStyle w:val="Heading2"/>
      </w:pPr>
      <w:r>
        <w:t>20.4 Typologie du retour</w:t>
      </w:r>
    </w:p>
    <w:tbl>
      <w:tblPr>
        <w:tblStyle w:val="TableGrid"/>
        <w:tblW w:type="auto" w:w="0"/>
        <w:tblLook w:firstColumn="1" w:firstRow="1" w:lastColumn="0" w:lastRow="0" w:noHBand="0" w:noVBand="1" w:val="04A0"/>
      </w:tblPr>
      <w:tblGrid>
        <w:gridCol w:w="2498"/>
        <w:gridCol w:w="2498"/>
        <w:gridCol w:w="2498"/>
        <w:gridCol w:w="2498"/>
      </w:tblGrid>
      <w:tr>
        <w:tc>
          <w:tcPr>
            <w:tcW w:type="dxa" w:w="2498"/>
            <w:shd w:fill="1F4E79"/>
            <w:tcMar>
              <w:top w:w="90" w:type="dxa"/>
              <w:start w:w="100" w:type="dxa"/>
              <w:bottom w:w="90" w:type="dxa"/>
              <w:end w:w="100" w:type="dxa"/>
            </w:tcMar>
          </w:tcPr>
          <w:p>
            <w:r>
              <w:rPr>
                <w:b/>
                <w:color w:val="FFFFFF"/>
              </w:rPr>
              <w:t>Type</w:t>
            </w:r>
          </w:p>
        </w:tc>
        <w:tc>
          <w:tcPr>
            <w:tcW w:type="dxa" w:w="2498"/>
            <w:shd w:fill="1F4E79"/>
            <w:tcMar>
              <w:top w:w="90" w:type="dxa"/>
              <w:start w:w="100" w:type="dxa"/>
              <w:bottom w:w="90" w:type="dxa"/>
              <w:end w:w="100" w:type="dxa"/>
            </w:tcMar>
          </w:tcPr>
          <w:p>
            <w:r>
              <w:rPr>
                <w:b/>
                <w:color w:val="FFFFFF"/>
              </w:rPr>
              <w:t>Critère minimal</w:t>
            </w:r>
          </w:p>
        </w:tc>
        <w:tc>
          <w:tcPr>
            <w:tcW w:type="dxa" w:w="2498"/>
            <w:shd w:fill="1F4E79"/>
            <w:tcMar>
              <w:top w:w="90" w:type="dxa"/>
              <w:start w:w="100" w:type="dxa"/>
              <w:bottom w:w="90" w:type="dxa"/>
              <w:end w:w="100" w:type="dxa"/>
            </w:tcMar>
          </w:tcPr>
          <w:p>
            <w:r>
              <w:rPr>
                <w:b/>
                <w:color w:val="FFFFFF"/>
              </w:rPr>
              <w:t>Ne garantit pas</w:t>
            </w:r>
          </w:p>
        </w:tc>
        <w:tc>
          <w:tcPr>
            <w:tcW w:type="dxa" w:w="2498"/>
            <w:shd w:fill="1F4E79"/>
            <w:tcMar>
              <w:top w:w="90" w:type="dxa"/>
              <w:start w:w="100" w:type="dxa"/>
              <w:bottom w:w="90" w:type="dxa"/>
              <w:end w:w="100" w:type="dxa"/>
            </w:tcMar>
          </w:tcPr>
          <w:p>
            <w:r>
              <w:rPr>
                <w:b/>
                <w:color w:val="FFFFFF"/>
              </w:rPr>
              <w:t>Statut</w:t>
            </w:r>
          </w:p>
        </w:tc>
      </w:tr>
      <w:tr>
        <w:tc>
          <w:tcPr>
            <w:tcW w:type="dxa" w:w="2498"/>
            <w:tcMar>
              <w:top w:w="90" w:type="dxa"/>
              <w:start w:w="100" w:type="dxa"/>
              <w:bottom w:w="90" w:type="dxa"/>
              <w:end w:w="100" w:type="dxa"/>
            </w:tcMar>
            <w:vAlign w:val="center"/>
          </w:tcPr>
          <w:p>
            <w:r>
              <w:t>État</w:t>
            </w:r>
          </w:p>
        </w:tc>
        <w:tc>
          <w:tcPr>
            <w:tcW w:type="dxa" w:w="2498"/>
            <w:tcMar>
              <w:top w:w="90" w:type="dxa"/>
              <w:start w:w="100" w:type="dxa"/>
              <w:bottom w:w="90" w:type="dxa"/>
              <w:end w:w="100" w:type="dxa"/>
            </w:tcMar>
            <w:vAlign w:val="center"/>
          </w:tcPr>
          <w:p>
            <w:r>
              <w:t>Retour de la valeur ou de l’observable cible</w:t>
            </w:r>
          </w:p>
        </w:tc>
        <w:tc>
          <w:tcPr>
            <w:tcW w:type="dxa" w:w="2498"/>
            <w:tcMar>
              <w:top w:w="90" w:type="dxa"/>
              <w:start w:w="100" w:type="dxa"/>
              <w:bottom w:w="90" w:type="dxa"/>
              <w:end w:w="100" w:type="dxa"/>
            </w:tcMar>
            <w:vAlign w:val="center"/>
          </w:tcPr>
          <w:p>
            <w:r>
              <w:t>Mêmes ressources, mêmes chemins</w:t>
            </w:r>
          </w:p>
        </w:tc>
        <w:tc>
          <w:tcPr>
            <w:tcW w:type="dxa" w:w="2498"/>
            <w:tcMar>
              <w:top w:w="90" w:type="dxa"/>
              <w:start w:w="100" w:type="dxa"/>
              <w:bottom w:w="90" w:type="dxa"/>
              <w:end w:w="100" w:type="dxa"/>
            </w:tcMar>
            <w:vAlign w:val="center"/>
          </w:tcPr>
          <w:p>
            <w:r>
              <w:t>[D-cand] typologie</w:t>
            </w:r>
          </w:p>
        </w:tc>
      </w:tr>
      <w:tr>
        <w:tc>
          <w:tcPr>
            <w:tcW w:type="dxa" w:w="2498"/>
            <w:tcMar>
              <w:top w:w="90" w:type="dxa"/>
              <w:start w:w="100" w:type="dxa"/>
              <w:bottom w:w="90" w:type="dxa"/>
              <w:end w:w="100" w:type="dxa"/>
            </w:tcMar>
            <w:vAlign w:val="center"/>
          </w:tcPr>
          <w:p>
            <w:r>
              <w:t>Fonctionnel</w:t>
            </w:r>
          </w:p>
        </w:tc>
        <w:tc>
          <w:tcPr>
            <w:tcW w:type="dxa" w:w="2498"/>
            <w:tcMar>
              <w:top w:w="90" w:type="dxa"/>
              <w:start w:w="100" w:type="dxa"/>
              <w:bottom w:w="90" w:type="dxa"/>
              <w:end w:w="100" w:type="dxa"/>
            </w:tcMar>
            <w:vAlign w:val="center"/>
          </w:tcPr>
          <w:p>
            <w:r>
              <w:t>Fonction attendue rétablie</w:t>
            </w:r>
          </w:p>
        </w:tc>
        <w:tc>
          <w:tcPr>
            <w:tcW w:type="dxa" w:w="2498"/>
            <w:tcMar>
              <w:top w:w="90" w:type="dxa"/>
              <w:start w:w="100" w:type="dxa"/>
              <w:bottom w:w="90" w:type="dxa"/>
              <w:end w:w="100" w:type="dxa"/>
            </w:tcMar>
            <w:vAlign w:val="center"/>
          </w:tcPr>
          <w:p>
            <w:r>
              <w:t>Même architecture interne</w:t>
            </w:r>
          </w:p>
        </w:tc>
        <w:tc>
          <w:tcPr>
            <w:tcW w:type="dxa" w:w="2498"/>
            <w:tcMar>
              <w:top w:w="90" w:type="dxa"/>
              <w:start w:w="100" w:type="dxa"/>
              <w:bottom w:w="90" w:type="dxa"/>
              <w:end w:w="100" w:type="dxa"/>
            </w:tcMar>
            <w:vAlign w:val="center"/>
          </w:tcPr>
          <w:p>
            <w:r>
              <w:t>[D-cand] typologie</w:t>
            </w:r>
          </w:p>
        </w:tc>
      </w:tr>
      <w:tr>
        <w:tc>
          <w:tcPr>
            <w:tcW w:type="dxa" w:w="2498"/>
            <w:tcMar>
              <w:top w:w="90" w:type="dxa"/>
              <w:start w:w="100" w:type="dxa"/>
              <w:bottom w:w="90" w:type="dxa"/>
              <w:end w:w="100" w:type="dxa"/>
            </w:tcMar>
            <w:vAlign w:val="center"/>
          </w:tcPr>
          <w:p>
            <w:r>
              <w:t>Structurel</w:t>
            </w:r>
          </w:p>
        </w:tc>
        <w:tc>
          <w:tcPr>
            <w:tcW w:type="dxa" w:w="2498"/>
            <w:tcMar>
              <w:top w:w="90" w:type="dxa"/>
              <w:start w:w="100" w:type="dxa"/>
              <w:bottom w:w="90" w:type="dxa"/>
              <w:end w:w="100" w:type="dxa"/>
            </w:tcMar>
            <w:vAlign w:val="center"/>
          </w:tcPr>
          <w:p>
            <w:r>
              <w:t>Relations internes pertinentes restaurées</w:t>
            </w:r>
          </w:p>
        </w:tc>
        <w:tc>
          <w:tcPr>
            <w:tcW w:type="dxa" w:w="2498"/>
            <w:tcMar>
              <w:top w:w="90" w:type="dxa"/>
              <w:start w:w="100" w:type="dxa"/>
              <w:bottom w:w="90" w:type="dxa"/>
              <w:end w:w="100" w:type="dxa"/>
            </w:tcMar>
            <w:vAlign w:val="center"/>
          </w:tcPr>
          <w:p>
            <w:r>
              <w:t>Même espace de futurs</w:t>
            </w:r>
          </w:p>
        </w:tc>
        <w:tc>
          <w:tcPr>
            <w:tcW w:type="dxa" w:w="2498"/>
            <w:tcMar>
              <w:top w:w="90" w:type="dxa"/>
              <w:start w:w="100" w:type="dxa"/>
              <w:bottom w:w="90" w:type="dxa"/>
              <w:end w:w="100" w:type="dxa"/>
            </w:tcMar>
            <w:vAlign w:val="center"/>
          </w:tcPr>
          <w:p>
            <w:r>
              <w:t>[D-cand] typologie</w:t>
            </w:r>
          </w:p>
        </w:tc>
      </w:tr>
      <w:tr>
        <w:tc>
          <w:tcPr>
            <w:tcW w:type="dxa" w:w="2498"/>
            <w:tcMar>
              <w:top w:w="90" w:type="dxa"/>
              <w:start w:w="100" w:type="dxa"/>
              <w:bottom w:w="90" w:type="dxa"/>
              <w:end w:w="100" w:type="dxa"/>
            </w:tcMar>
            <w:vAlign w:val="center"/>
          </w:tcPr>
          <w:p>
            <w:r>
              <w:t>Capacitaire</w:t>
            </w:r>
          </w:p>
        </w:tc>
        <w:tc>
          <w:tcPr>
            <w:tcW w:type="dxa" w:w="2498"/>
            <w:tcMar>
              <w:top w:w="90" w:type="dxa"/>
              <w:start w:w="100" w:type="dxa"/>
              <w:bottom w:w="90" w:type="dxa"/>
              <w:end w:w="100" w:type="dxa"/>
            </w:tcMar>
            <w:vAlign w:val="center"/>
          </w:tcPr>
          <w:p>
            <w:r>
              <w:t>Structure de reprise restaurée sous le même régime</w:t>
            </w:r>
          </w:p>
        </w:tc>
        <w:tc>
          <w:tcPr>
            <w:tcW w:type="dxa" w:w="2498"/>
            <w:tcMar>
              <w:top w:w="90" w:type="dxa"/>
              <w:start w:w="100" w:type="dxa"/>
              <w:bottom w:w="90" w:type="dxa"/>
              <w:end w:w="100" w:type="dxa"/>
            </w:tcMar>
            <w:vAlign w:val="center"/>
          </w:tcPr>
          <w:p>
            <w:r>
              <w:t>—</w:t>
            </w:r>
          </w:p>
        </w:tc>
        <w:tc>
          <w:tcPr>
            <w:tcW w:type="dxa" w:w="2498"/>
            <w:tcMar>
              <w:top w:w="90" w:type="dxa"/>
              <w:start w:w="100" w:type="dxa"/>
              <w:bottom w:w="90" w:type="dxa"/>
              <w:end w:w="100" w:type="dxa"/>
            </w:tcMar>
            <w:vAlign w:val="center"/>
          </w:tcPr>
          <w:p>
            <w:r>
              <w:t>[D-cand] typologie</w:t>
            </w:r>
          </w:p>
        </w:tc>
      </w:tr>
    </w:tbl>
    <w:p/>
    <w:p>
      <w:r>
        <w:t>Objectif minimal : construire un témoin fini où le retour d’état est vérifié tandis que le retour capacitaire échoue.</w:t>
      </w:r>
    </w:p>
    <w:p>
      <w:pPr>
        <w:pStyle w:val="Heading1"/>
      </w:pPr>
      <w:r>
        <w:t>Chapitre 21 — Réservance, fragilité et invariants candidats</w:t>
      </w:r>
    </w:p>
    <w:p>
      <w:pPr>
        <w:pStyle w:val="Heading2"/>
      </w:pPr>
      <w:r>
        <w:t>21.1 Réservance [H]/[D-cand]</w:t>
      </w:r>
    </w:p>
    <w:p>
      <w:r>
        <w:t>La réservance désigne provisoirement la diversité structurée des possibilités de reprise qui demeurent après perturbation. Elle n’est ni le nombre brut de futurs, ni la robustesse locale, ni la redondance, ni la résilience. Sa légitimité dépendra d’un théorème de séparation ou d’exemples où elle distingue des systèmes que les invariants classiques ne distinguent pas.</w:t>
      </w:r>
    </w:p>
    <w:p>
      <w:pPr>
        <w:pStyle w:val="Heading2"/>
      </w:pPr>
      <w:r>
        <w:t>21.2 Fragilité capacitaire [H]</w:t>
      </w:r>
    </w:p>
    <w:p>
      <w:r>
        <w:t>La fragilité capacitaire est la sensibilité de la structure de reprise à une perturbation. Beaucoup de voies peuvent rester fragiles si elles partagent une même dépendance ; peu de voies peuvent rester robustes si elles sont réellement indépendantes.</w:t>
      </w:r>
    </w:p>
    <w:p>
      <w:pPr>
        <w:pStyle w:val="Heading2"/>
      </w:pPr>
      <w:r>
        <w:t>21.3 Invariants candidats</w:t>
      </w:r>
    </w:p>
    <w:p>
      <w:pPr>
        <w:pStyle w:val="ListBullet"/>
      </w:pPr>
      <w:r>
        <w:t>κ_C(x,t) : connectivité de reprise, par exemple nombre minimal de ruptures nécessaires pour supprimer toutes les voies vers t ;</w:t>
      </w:r>
    </w:p>
    <w:p>
      <w:pPr>
        <w:pStyle w:val="ListBullet"/>
      </w:pPr>
      <w:r>
        <w:t>ρ_C(x,t) : coût minimal de reprise, avec type de coût déclaré ;</w:t>
      </w:r>
    </w:p>
    <w:p>
      <w:pPr>
        <w:pStyle w:val="ListBullet"/>
      </w:pPr>
      <w:r>
        <w:t>ω_C : structure d’obstruction, à définir selon le modèle fini.</w:t>
      </w:r>
    </w:p>
    <w:tbl>
      <w:tblPr>
        <w:tblW w:type="auto" w:w="0"/>
        <w:tblLook w:firstColumn="1" w:firstRow="1" w:lastColumn="0" w:lastRow="0" w:noHBand="0" w:noVBand="1" w:val="04A0"/>
      </w:tblPr>
      <w:tblGrid>
        <w:gridCol w:w="9994"/>
      </w:tblGrid>
      <w:tr>
        <w:tc>
          <w:tcPr>
            <w:tcW w:type="dxa" w:w="9994"/>
            <w:shd w:fill="EAF1F8"/>
            <w:tcMar>
              <w:top w:w="140" w:type="dxa"/>
              <w:start w:w="160" w:type="dxa"/>
              <w:bottom w:w="140" w:type="dxa"/>
              <w:end w:w="160" w:type="dxa"/>
            </w:tcMar>
            <w:vAlign w:val="center"/>
          </w:tcPr>
          <w:p>
            <w:r>
              <w:rPr>
                <w:b/>
                <w:color w:val="1F4E79"/>
              </w:rPr>
              <w:t xml:space="preserve">Garde-fou — </w:t>
            </w:r>
            <w:r>
              <w:t>Aucune métrique scalaire universelle n’est postulée. La première phase doit comparer plusieurs invariants et chercher activement les contre-exemples qui les séparent.</w:t>
            </w:r>
          </w:p>
        </w:tc>
      </w:tr>
    </w:tbl>
    <w:p/>
    <w:p>
      <w:pPr>
        <w:pStyle w:val="Heading1"/>
      </w:pPr>
      <w:r>
        <w:t>Chapitre 22 — Hypothèses falsifiables</w:t>
      </w:r>
    </w:p>
    <w:tbl>
      <w:tblPr>
        <w:tblStyle w:val="TableGrid"/>
        <w:tblW w:type="auto" w:w="0"/>
        <w:tblLook w:firstColumn="1" w:firstRow="1" w:lastColumn="0" w:lastRow="0" w:noHBand="0" w:noVBand="1" w:val="04A0"/>
      </w:tblPr>
      <w:tblGrid>
        <w:gridCol w:w="2498"/>
        <w:gridCol w:w="2498"/>
        <w:gridCol w:w="2498"/>
        <w:gridCol w:w="2498"/>
      </w:tblGrid>
      <w:tr>
        <w:tc>
          <w:tcPr>
            <w:tcW w:type="dxa" w:w="2498"/>
            <w:shd w:fill="1F4E79"/>
            <w:tcMar>
              <w:top w:w="90" w:type="dxa"/>
              <w:start w:w="100" w:type="dxa"/>
              <w:bottom w:w="90" w:type="dxa"/>
              <w:end w:w="100" w:type="dxa"/>
            </w:tcMar>
          </w:tcPr>
          <w:p>
            <w:r>
              <w:rPr>
                <w:b/>
                <w:color w:val="FFFFFF"/>
              </w:rPr>
              <w:t>Hyp.</w:t>
            </w:r>
          </w:p>
        </w:tc>
        <w:tc>
          <w:tcPr>
            <w:tcW w:type="dxa" w:w="2498"/>
            <w:shd w:fill="1F4E79"/>
            <w:tcMar>
              <w:top w:w="90" w:type="dxa"/>
              <w:start w:w="100" w:type="dxa"/>
              <w:bottom w:w="90" w:type="dxa"/>
              <w:end w:w="100" w:type="dxa"/>
            </w:tcMar>
          </w:tcPr>
          <w:p>
            <w:r>
              <w:rPr>
                <w:b/>
                <w:color w:val="FFFFFF"/>
              </w:rPr>
              <w:t>Formulation</w:t>
            </w:r>
          </w:p>
        </w:tc>
        <w:tc>
          <w:tcPr>
            <w:tcW w:type="dxa" w:w="2498"/>
            <w:shd w:fill="1F4E79"/>
            <w:tcMar>
              <w:top w:w="90" w:type="dxa"/>
              <w:start w:w="100" w:type="dxa"/>
              <w:bottom w:w="90" w:type="dxa"/>
              <w:end w:w="100" w:type="dxa"/>
            </w:tcMar>
          </w:tcPr>
          <w:p>
            <w:r>
              <w:rPr>
                <w:b/>
                <w:color w:val="FFFFFF"/>
              </w:rPr>
              <w:t>Test minimal</w:t>
            </w:r>
          </w:p>
        </w:tc>
        <w:tc>
          <w:tcPr>
            <w:tcW w:type="dxa" w:w="2498"/>
            <w:shd w:fill="1F4E79"/>
            <w:tcMar>
              <w:top w:w="90" w:type="dxa"/>
              <w:start w:w="100" w:type="dxa"/>
              <w:bottom w:w="90" w:type="dxa"/>
              <w:end w:w="100" w:type="dxa"/>
            </w:tcMar>
          </w:tcPr>
          <w:p>
            <w:r>
              <w:rPr>
                <w:b/>
                <w:color w:val="FFFFFF"/>
              </w:rPr>
              <w:t>Statut</w:t>
            </w:r>
          </w:p>
        </w:tc>
      </w:tr>
      <w:tr>
        <w:tc>
          <w:tcPr>
            <w:tcW w:type="dxa" w:w="2498"/>
            <w:tcMar>
              <w:top w:w="90" w:type="dxa"/>
              <w:start w:w="100" w:type="dxa"/>
              <w:bottom w:w="90" w:type="dxa"/>
              <w:end w:w="100" w:type="dxa"/>
            </w:tcMar>
            <w:vAlign w:val="center"/>
          </w:tcPr>
          <w:p>
            <w:r>
              <w:t>H1</w:t>
            </w:r>
          </w:p>
        </w:tc>
        <w:tc>
          <w:tcPr>
            <w:tcW w:type="dxa" w:w="2498"/>
            <w:tcMar>
              <w:top w:w="90" w:type="dxa"/>
              <w:start w:w="100" w:type="dxa"/>
              <w:bottom w:w="90" w:type="dxa"/>
              <w:end w:w="100" w:type="dxa"/>
            </w:tcMar>
            <w:vAlign w:val="center"/>
          </w:tcPr>
          <w:p>
            <w:r>
              <w:t>Des états observablement identiques peuvent avoir des C(x) non isomorphes.</w:t>
            </w:r>
          </w:p>
        </w:tc>
        <w:tc>
          <w:tcPr>
            <w:tcW w:type="dxa" w:w="2498"/>
            <w:tcMar>
              <w:top w:w="90" w:type="dxa"/>
              <w:start w:w="100" w:type="dxa"/>
              <w:bottom w:w="90" w:type="dxa"/>
              <w:end w:w="100" w:type="dxa"/>
            </w:tcMar>
            <w:vAlign w:val="center"/>
          </w:tcPr>
          <w:p>
            <w:r>
              <w:t>Deux états O-identiques, C-non-isomorphes.</w:t>
            </w:r>
          </w:p>
        </w:tc>
        <w:tc>
          <w:tcPr>
            <w:tcW w:type="dxa" w:w="2498"/>
            <w:tcMar>
              <w:top w:w="90" w:type="dxa"/>
              <w:start w:w="100" w:type="dxa"/>
              <w:bottom w:w="90" w:type="dxa"/>
              <w:end w:w="100" w:type="dxa"/>
            </w:tcMar>
            <w:vAlign w:val="center"/>
          </w:tcPr>
          <w:p>
            <w:r>
              <w:t>[H]</w:t>
            </w:r>
          </w:p>
        </w:tc>
      </w:tr>
      <w:tr>
        <w:tc>
          <w:tcPr>
            <w:tcW w:type="dxa" w:w="2498"/>
            <w:tcMar>
              <w:top w:w="90" w:type="dxa"/>
              <w:start w:w="100" w:type="dxa"/>
              <w:bottom w:w="90" w:type="dxa"/>
              <w:end w:w="100" w:type="dxa"/>
            </w:tcMar>
            <w:vAlign w:val="center"/>
          </w:tcPr>
          <w:p>
            <w:r>
              <w:t>H2</w:t>
            </w:r>
          </w:p>
        </w:tc>
        <w:tc>
          <w:tcPr>
            <w:tcW w:type="dxa" w:w="2498"/>
            <w:tcMar>
              <w:top w:w="90" w:type="dxa"/>
              <w:start w:w="100" w:type="dxa"/>
              <w:bottom w:w="90" w:type="dxa"/>
              <w:end w:w="100" w:type="dxa"/>
            </w:tcMar>
            <w:vAlign w:val="center"/>
          </w:tcPr>
          <w:p>
            <w:r>
              <w:t>La réservance peut être plus informative que la robustesse locale.</w:t>
            </w:r>
          </w:p>
        </w:tc>
        <w:tc>
          <w:tcPr>
            <w:tcW w:type="dxa" w:w="2498"/>
            <w:tcMar>
              <w:top w:w="90" w:type="dxa"/>
              <w:start w:w="100" w:type="dxa"/>
              <w:bottom w:w="90" w:type="dxa"/>
              <w:end w:w="100" w:type="dxa"/>
            </w:tcMar>
            <w:vAlign w:val="center"/>
          </w:tcPr>
          <w:p>
            <w:r>
              <w:t>Famille à robustesse comparable, invariants capacitaires distincts.</w:t>
            </w:r>
          </w:p>
        </w:tc>
        <w:tc>
          <w:tcPr>
            <w:tcW w:type="dxa" w:w="2498"/>
            <w:tcMar>
              <w:top w:w="90" w:type="dxa"/>
              <w:start w:w="100" w:type="dxa"/>
              <w:bottom w:w="90" w:type="dxa"/>
              <w:end w:w="100" w:type="dxa"/>
            </w:tcMar>
            <w:vAlign w:val="center"/>
          </w:tcPr>
          <w:p>
            <w:r>
              <w:t>[H]</w:t>
            </w:r>
          </w:p>
        </w:tc>
      </w:tr>
      <w:tr>
        <w:tc>
          <w:tcPr>
            <w:tcW w:type="dxa" w:w="2498"/>
            <w:tcMar>
              <w:top w:w="90" w:type="dxa"/>
              <w:start w:w="100" w:type="dxa"/>
              <w:bottom w:w="90" w:type="dxa"/>
              <w:end w:w="100" w:type="dxa"/>
            </w:tcMar>
            <w:vAlign w:val="center"/>
          </w:tcPr>
          <w:p>
            <w:r>
              <w:t>H3</w:t>
            </w:r>
          </w:p>
        </w:tc>
        <w:tc>
          <w:tcPr>
            <w:tcW w:type="dxa" w:w="2498"/>
            <w:tcMar>
              <w:top w:w="90" w:type="dxa"/>
              <w:start w:w="100" w:type="dxa"/>
              <w:bottom w:w="90" w:type="dxa"/>
              <w:end w:w="100" w:type="dxa"/>
            </w:tcMar>
            <w:vAlign w:val="center"/>
          </w:tcPr>
          <w:p>
            <w:r>
              <w:t>L’optimisation peut améliorer la performance tout en érodant la reprise.</w:t>
            </w:r>
          </w:p>
        </w:tc>
        <w:tc>
          <w:tcPr>
            <w:tcW w:type="dxa" w:w="2498"/>
            <w:tcMar>
              <w:top w:w="90" w:type="dxa"/>
              <w:start w:w="100" w:type="dxa"/>
              <w:bottom w:w="90" w:type="dxa"/>
              <w:end w:w="100" w:type="dxa"/>
            </w:tcMar>
            <w:vAlign w:val="center"/>
          </w:tcPr>
          <w:p>
            <w:r>
              <w:t>Suite P croissante, invariant capacitaire décroissant.</w:t>
            </w:r>
          </w:p>
        </w:tc>
        <w:tc>
          <w:tcPr>
            <w:tcW w:type="dxa" w:w="2498"/>
            <w:tcMar>
              <w:top w:w="90" w:type="dxa"/>
              <w:start w:w="100" w:type="dxa"/>
              <w:bottom w:w="90" w:type="dxa"/>
              <w:end w:w="100" w:type="dxa"/>
            </w:tcMar>
            <w:vAlign w:val="center"/>
          </w:tcPr>
          <w:p>
            <w:r>
              <w:t>[H]</w:t>
            </w:r>
          </w:p>
        </w:tc>
      </w:tr>
      <w:tr>
        <w:tc>
          <w:tcPr>
            <w:tcW w:type="dxa" w:w="2498"/>
            <w:tcMar>
              <w:top w:w="90" w:type="dxa"/>
              <w:start w:w="100" w:type="dxa"/>
              <w:bottom w:w="90" w:type="dxa"/>
              <w:end w:w="100" w:type="dxa"/>
            </w:tcMar>
            <w:vAlign w:val="center"/>
          </w:tcPr>
          <w:p>
            <w:r>
              <w:t>H4</w:t>
            </w:r>
          </w:p>
        </w:tc>
        <w:tc>
          <w:tcPr>
            <w:tcW w:type="dxa" w:w="2498"/>
            <w:tcMar>
              <w:top w:w="90" w:type="dxa"/>
              <w:start w:w="100" w:type="dxa"/>
              <w:bottom w:w="90" w:type="dxa"/>
              <w:end w:w="100" w:type="dxa"/>
            </w:tcMar>
            <w:vAlign w:val="center"/>
          </w:tcPr>
          <w:p>
            <w:r>
              <w:t>Une transition critique peut apparaître à la perte de la dernière voie indépendante.</w:t>
            </w:r>
          </w:p>
        </w:tc>
        <w:tc>
          <w:tcPr>
            <w:tcW w:type="dxa" w:w="2498"/>
            <w:tcMar>
              <w:top w:w="90" w:type="dxa"/>
              <w:start w:w="100" w:type="dxa"/>
              <w:bottom w:w="90" w:type="dxa"/>
              <w:end w:w="100" w:type="dxa"/>
            </w:tcMar>
            <w:vAlign w:val="center"/>
          </w:tcPr>
          <w:p>
            <w:r>
              <w:t>κ_C&gt;0 puis 0 sans rupture d’observable.</w:t>
            </w:r>
          </w:p>
        </w:tc>
        <w:tc>
          <w:tcPr>
            <w:tcW w:type="dxa" w:w="2498"/>
            <w:tcMar>
              <w:top w:w="90" w:type="dxa"/>
              <w:start w:w="100" w:type="dxa"/>
              <w:bottom w:w="90" w:type="dxa"/>
              <w:end w:w="100" w:type="dxa"/>
            </w:tcMar>
            <w:vAlign w:val="center"/>
          </w:tcPr>
          <w:p>
            <w:r>
              <w:t>[H]</w:t>
            </w:r>
          </w:p>
        </w:tc>
      </w:tr>
      <w:tr>
        <w:tc>
          <w:tcPr>
            <w:tcW w:type="dxa" w:w="2498"/>
            <w:tcMar>
              <w:top w:w="90" w:type="dxa"/>
              <w:start w:w="100" w:type="dxa"/>
              <w:bottom w:w="90" w:type="dxa"/>
              <w:end w:w="100" w:type="dxa"/>
            </w:tcMar>
            <w:vAlign w:val="center"/>
          </w:tcPr>
          <w:p>
            <w:r>
              <w:t>H5</w:t>
            </w:r>
          </w:p>
        </w:tc>
        <w:tc>
          <w:tcPr>
            <w:tcW w:type="dxa" w:w="2498"/>
            <w:tcMar>
              <w:top w:w="90" w:type="dxa"/>
              <w:start w:w="100" w:type="dxa"/>
              <w:bottom w:w="90" w:type="dxa"/>
              <w:end w:w="100" w:type="dxa"/>
            </w:tcMar>
            <w:vAlign w:val="center"/>
          </w:tcPr>
          <w:p>
            <w:r>
              <w:t>Une mémoire peut être portée par de nouvelles impossibilités après restauration des observables.</w:t>
            </w:r>
          </w:p>
        </w:tc>
        <w:tc>
          <w:tcPr>
            <w:tcW w:type="dxa" w:w="2498"/>
            <w:tcMar>
              <w:top w:w="90" w:type="dxa"/>
              <w:start w:w="100" w:type="dxa"/>
              <w:bottom w:w="90" w:type="dxa"/>
              <w:end w:w="100" w:type="dxa"/>
            </w:tcMar>
            <w:vAlign w:val="center"/>
          </w:tcPr>
          <w:p>
            <w:r>
              <w:t>O_final=O_initial mais C_final non isomorphe.</w:t>
            </w:r>
          </w:p>
        </w:tc>
        <w:tc>
          <w:tcPr>
            <w:tcW w:type="dxa" w:w="2498"/>
            <w:tcMar>
              <w:top w:w="90" w:type="dxa"/>
              <w:start w:w="100" w:type="dxa"/>
              <w:bottom w:w="90" w:type="dxa"/>
              <w:end w:w="100" w:type="dxa"/>
            </w:tcMar>
            <w:vAlign w:val="center"/>
          </w:tcPr>
          <w:p>
            <w:r>
              <w:t>[H]</w:t>
            </w:r>
          </w:p>
        </w:tc>
      </w:tr>
      <w:tr>
        <w:tc>
          <w:tcPr>
            <w:tcW w:type="dxa" w:w="2498"/>
            <w:tcMar>
              <w:top w:w="90" w:type="dxa"/>
              <w:start w:w="100" w:type="dxa"/>
              <w:bottom w:w="90" w:type="dxa"/>
              <w:end w:w="100" w:type="dxa"/>
            </w:tcMar>
            <w:vAlign w:val="center"/>
          </w:tcPr>
          <w:p>
            <w:r>
              <w:t>H6</w:t>
            </w:r>
          </w:p>
        </w:tc>
        <w:tc>
          <w:tcPr>
            <w:tcW w:type="dxa" w:w="2498"/>
            <w:tcMar>
              <w:top w:w="90" w:type="dxa"/>
              <w:start w:w="100" w:type="dxa"/>
              <w:bottom w:w="90" w:type="dxa"/>
              <w:end w:w="100" w:type="dxa"/>
            </w:tcMar>
            <w:vAlign w:val="center"/>
          </w:tcPr>
          <w:p>
            <w:r>
              <w:t>Certaines irréversibilités perdent et créent simultanément des futurs.</w:t>
            </w:r>
          </w:p>
        </w:tc>
        <w:tc>
          <w:tcPr>
            <w:tcW w:type="dxa" w:w="2498"/>
            <w:tcMar>
              <w:top w:w="90" w:type="dxa"/>
              <w:start w:w="100" w:type="dxa"/>
              <w:bottom w:w="90" w:type="dxa"/>
              <w:end w:w="100" w:type="dxa"/>
            </w:tcMar>
            <w:vAlign w:val="center"/>
          </w:tcPr>
          <w:p>
            <w:r>
              <w:t>Pertes et gains tous deux non vides.</w:t>
            </w:r>
          </w:p>
        </w:tc>
        <w:tc>
          <w:tcPr>
            <w:tcW w:type="dxa" w:w="2498"/>
            <w:tcMar>
              <w:top w:w="90" w:type="dxa"/>
              <w:start w:w="100" w:type="dxa"/>
              <w:bottom w:w="90" w:type="dxa"/>
              <w:end w:w="100" w:type="dxa"/>
            </w:tcMar>
            <w:vAlign w:val="center"/>
          </w:tcPr>
          <w:p>
            <w:r>
              <w:t>[H]</w:t>
            </w:r>
          </w:p>
        </w:tc>
      </w:tr>
    </w:tbl>
    <w:p/>
    <w:p>
      <w:pPr>
        <w:pStyle w:val="Heading2"/>
      </w:pPr>
      <w:r>
        <w:t>22.1 H7-philo — continuité des possibilités de transformation</w:t>
      </w:r>
    </w:p>
    <w:p>
      <w:r>
        <w:t>Hypothèse philosophique seulement : l’identité dynamique d’un système pourrait dépendre en partie de la continuité de ses possibilités de transformation plutôt que de la seule conservation d’un état. Cette phrase ne définit pas l’identité personnelle et n’attribue aucune conscience à un système artificiel. Statut : [H-philo].</w:t>
      </w:r>
    </w:p>
    <w:p>
      <w:pPr>
        <w:pStyle w:val="Heading1"/>
      </w:pPr>
      <w:r>
        <w:t>Chapitre 23 — Modèle fini et cibles théorématiques</w:t>
      </w:r>
    </w:p>
    <w:p>
      <w:pPr>
        <w:pStyle w:val="Heading2"/>
      </w:pPr>
      <w:r>
        <w:t>23.1 Banc d’essai</w:t>
      </w:r>
    </w:p>
    <w:p>
      <w:r>
        <w:t>Le modèle minimal recommandé est un graphe orienté fini G=(V,E). Pour un sommet x et un horizon k, C_k(x) regroupe les cibles accessibles par un chemin admissible de longueur au plus k. Le graphe pourra ensuite être enrichi par coûts, ressources partagées, dépendances et provenance.</w:t>
      </w:r>
    </w:p>
    <w:p>
      <w:pPr>
        <w:pStyle w:val="Heading2"/>
      </w:pPr>
      <w:r>
        <w:t>23.2 Résultats à viser</w:t>
      </w:r>
    </w:p>
    <w:p>
      <w:pPr>
        <w:pStyle w:val="ListBullet"/>
      </w:pPr>
      <w:r>
        <w:t>Deux états avec mêmes observables et C non isomorphes.</w:t>
      </w:r>
    </w:p>
    <w:p>
      <w:pPr>
        <w:pStyle w:val="ListBullet"/>
      </w:pPr>
      <w:r>
        <w:t>Même nombre de futurs mais connectivités de reprise différentes.</w:t>
      </w:r>
    </w:p>
    <w:p>
      <w:pPr>
        <w:pStyle w:val="ListBullet"/>
      </w:pPr>
      <w:r>
        <w:t>Conditions suffisantes pour qu’un retour d’état implique un retour capacitaire.</w:t>
      </w:r>
    </w:p>
    <w:p>
      <w:pPr>
        <w:pStyle w:val="ListBullet"/>
      </w:pPr>
      <w:r>
        <w:t>Théorème de monotonie d’un invariant capacitaire sous une classe explicite de transformations.</w:t>
      </w:r>
    </w:p>
    <w:p>
      <w:pPr>
        <w:pStyle w:val="ListBullet"/>
      </w:pPr>
      <w:r>
        <w:t>Théorème d’extinction sous une filtration C₀ ⊇ C₁ ⊇ C₂ ⊇ ….</w:t>
      </w:r>
    </w:p>
    <w:p>
      <w:pPr>
        <w:pStyle w:val="ListBullet"/>
      </w:pPr>
      <w:r>
        <w:t>Résultat de stabilité sous marge de connectivité.</w:t>
      </w:r>
    </w:p>
    <w:p>
      <w:pPr>
        <w:pStyle w:val="ListBullet"/>
      </w:pPr>
      <w:r>
        <w:t>Non-équivalence explicite entre robustesse locale, contrôlabilité et réservance.</w:t>
      </w:r>
    </w:p>
    <w:p>
      <w:pPr>
        <w:pStyle w:val="Heading2"/>
      </w:pPr>
      <w:r>
        <w:t>23.3 Théorème d’extinction comme cible doctorale</w:t>
      </w:r>
    </w:p>
    <w:p>
      <w:r>
        <w:t>On considère une filtration C₀ ⊇ C₁ ⊇ C₂ ⊇ … représentant des transformations qui ne recréent pas certaines capacités perdues. L’objet est de caractériser C_∞ = ⋂_{n≥0} C_n et les conditions de perte stricte d’une classe de reprise. À ce stade, il s’agit d’une cible de recherche, non d’un théorème acquis.</w:t>
      </w:r>
    </w:p>
    <w:p>
      <w:pPr>
        <w:pStyle w:val="Heading1"/>
      </w:pPr>
      <w:r>
        <w:t>Chapitre 24 — Transports admissibles et garde-fou de géométrisation</w:t>
      </w:r>
    </w:p>
    <w:p>
      <w:r>
        <w:t>La couche transports est maintenue distincte de la théorie capacitaire. Pour un relief ou un état représenté par r=r(q,X,R), trois variations doivent être séparées : niveau arithmétique q→Q, horizon X→X′ et changement de représentation R→R′.</w:t>
      </w:r>
    </w:p>
    <w:p>
      <w:pPr>
        <w:pStyle w:val="ListBullet"/>
      </w:pPr>
      <w:r>
        <w:t>T_{Q←q} : transport entre niveaux ;</w:t>
      </w:r>
    </w:p>
    <w:p>
      <w:pPr>
        <w:pStyle w:val="ListBullet"/>
      </w:pPr>
      <w:r>
        <w:t>U_{X′←X} : évolution selon l’horizon ;</w:t>
      </w:r>
    </w:p>
    <w:p>
      <w:pPr>
        <w:pStyle w:val="ListBullet"/>
      </w:pPr>
      <w:r>
        <w:t>changement de représentation : action sur bases, sous-espaces ou quotients.</w:t>
      </w:r>
    </w:p>
    <w:p>
      <w:r>
        <w:t>Le défaut Ω=TU−UT peut être calculé lorsqu’il a un sens, mais un commutateur non nul n’est pas une courbure. La hiérarchie à préserver est : défaut de retour ≠ non-réciprocité ≠ non-commutation ≠ courbure.</w:t>
      </w:r>
    </w:p>
    <w:tbl>
      <w:tblPr>
        <w:tblW w:type="auto" w:w="0"/>
        <w:tblLook w:firstColumn="1" w:firstRow="1" w:lastColumn="0" w:lastRow="0" w:noHBand="0" w:noVBand="1" w:val="04A0"/>
      </w:tblPr>
      <w:tblGrid>
        <w:gridCol w:w="9994"/>
      </w:tblGrid>
      <w:tr>
        <w:tc>
          <w:tcPr>
            <w:tcW w:type="dxa" w:w="9994"/>
            <w:shd w:fill="EAF1F8"/>
            <w:tcMar>
              <w:top w:w="140" w:type="dxa"/>
              <w:start w:w="160" w:type="dxa"/>
              <w:bottom w:w="140" w:type="dxa"/>
              <w:end w:w="160" w:type="dxa"/>
            </w:tcMar>
            <w:vAlign w:val="center"/>
          </w:tcPr>
          <w:p>
            <w:r>
              <w:rPr>
                <w:b/>
                <w:color w:val="1F4E79"/>
              </w:rPr>
              <w:t xml:space="preserve">Ordre de travail — </w:t>
            </w:r>
            <w:r>
              <w:t>Construire les opérateurs → définir indépendamment le retour attendu → calculer les défauts → chercher les explications élémentaires → seulement ensuite tester la légitimité d’une géométrisation.</w:t>
            </w:r>
          </w:p>
        </w:tc>
      </w:tr>
    </w:tbl>
    <w:p/>
    <w:p>
      <w:pPr>
        <w:pStyle w:val="Heading1"/>
      </w:pPr>
      <w:r>
        <w:t>Chapitre 25 — Articulation doctorale et stratégie de publication</w:t>
      </w:r>
    </w:p>
    <w:p>
      <w:r>
        <w:t>La couche capacitaire ne doit pas créer un manuscrit parallèle. Elle doit nourrir progressivement la thèse selon une chaîne cumulative et publiable.</w:t>
      </w:r>
    </w:p>
    <w:tbl>
      <w:tblPr>
        <w:tblStyle w:val="TableGrid"/>
        <w:tblW w:type="auto" w:w="0"/>
        <w:tblLook w:firstColumn="1" w:firstRow="1" w:lastColumn="0" w:lastRow="0" w:noHBand="0" w:noVBand="1" w:val="04A0"/>
      </w:tblPr>
      <w:tblGrid>
        <w:gridCol w:w="2498"/>
        <w:gridCol w:w="2498"/>
        <w:gridCol w:w="2498"/>
        <w:gridCol w:w="2498"/>
      </w:tblGrid>
      <w:tr>
        <w:tc>
          <w:tcPr>
            <w:tcW w:type="dxa" w:w="2498"/>
            <w:shd w:fill="1F4E79"/>
            <w:tcMar>
              <w:top w:w="90" w:type="dxa"/>
              <w:start w:w="100" w:type="dxa"/>
              <w:bottom w:w="90" w:type="dxa"/>
              <w:end w:w="100" w:type="dxa"/>
            </w:tcMar>
          </w:tcPr>
          <w:p>
            <w:r>
              <w:rPr>
                <w:b/>
                <w:color w:val="FFFFFF"/>
              </w:rPr>
              <w:t>Étape</w:t>
            </w:r>
          </w:p>
        </w:tc>
        <w:tc>
          <w:tcPr>
            <w:tcW w:type="dxa" w:w="2498"/>
            <w:shd w:fill="1F4E79"/>
            <w:tcMar>
              <w:top w:w="90" w:type="dxa"/>
              <w:start w:w="100" w:type="dxa"/>
              <w:bottom w:w="90" w:type="dxa"/>
              <w:end w:w="100" w:type="dxa"/>
            </w:tcMar>
          </w:tcPr>
          <w:p>
            <w:r>
              <w:rPr>
                <w:b/>
                <w:color w:val="FFFFFF"/>
              </w:rPr>
              <w:t>Objet</w:t>
            </w:r>
          </w:p>
        </w:tc>
        <w:tc>
          <w:tcPr>
            <w:tcW w:type="dxa" w:w="2498"/>
            <w:shd w:fill="1F4E79"/>
            <w:tcMar>
              <w:top w:w="90" w:type="dxa"/>
              <w:start w:w="100" w:type="dxa"/>
              <w:bottom w:w="90" w:type="dxa"/>
              <w:end w:w="100" w:type="dxa"/>
            </w:tcMar>
          </w:tcPr>
          <w:p>
            <w:r>
              <w:rPr>
                <w:b/>
                <w:color w:val="FFFFFF"/>
              </w:rPr>
              <w:t>Résultat visé</w:t>
            </w:r>
          </w:p>
        </w:tc>
        <w:tc>
          <w:tcPr>
            <w:tcW w:type="dxa" w:w="2498"/>
            <w:shd w:fill="1F4E79"/>
            <w:tcMar>
              <w:top w:w="90" w:type="dxa"/>
              <w:start w:w="100" w:type="dxa"/>
              <w:bottom w:w="90" w:type="dxa"/>
              <w:end w:w="100" w:type="dxa"/>
            </w:tcMar>
          </w:tcPr>
          <w:p>
            <w:r>
              <w:rPr>
                <w:b/>
                <w:color w:val="FFFFFF"/>
              </w:rPr>
              <w:t>Lien publication</w:t>
            </w:r>
          </w:p>
        </w:tc>
      </w:tr>
      <w:tr>
        <w:tc>
          <w:tcPr>
            <w:tcW w:type="dxa" w:w="2498"/>
            <w:tcMar>
              <w:top w:w="90" w:type="dxa"/>
              <w:start w:w="100" w:type="dxa"/>
              <w:bottom w:w="90" w:type="dxa"/>
              <w:end w:w="100" w:type="dxa"/>
            </w:tcMar>
            <w:vAlign w:val="center"/>
          </w:tcPr>
          <w:p>
            <w:r>
              <w:t>1</w:t>
            </w:r>
          </w:p>
        </w:tc>
        <w:tc>
          <w:tcPr>
            <w:tcW w:type="dxa" w:w="2498"/>
            <w:tcMar>
              <w:top w:w="90" w:type="dxa"/>
              <w:start w:w="100" w:type="dxa"/>
              <w:bottom w:w="90" w:type="dxa"/>
              <w:end w:w="100" w:type="dxa"/>
            </w:tcMar>
            <w:vAlign w:val="center"/>
          </w:tcPr>
          <w:p>
            <w:r>
              <w:t>Schémas reconstructifs</w:t>
            </w:r>
          </w:p>
        </w:tc>
        <w:tc>
          <w:tcPr>
            <w:tcW w:type="dxa" w:w="2498"/>
            <w:tcMar>
              <w:top w:w="90" w:type="dxa"/>
              <w:start w:w="100" w:type="dxa"/>
              <w:bottom w:w="90" w:type="dxa"/>
              <w:end w:w="100" w:type="dxa"/>
            </w:tcMar>
            <w:vAlign w:val="center"/>
          </w:tcPr>
          <w:p>
            <w:r>
              <w:t>Noyau statique, factorisation, coût</w:t>
            </w:r>
          </w:p>
        </w:tc>
        <w:tc>
          <w:tcPr>
            <w:tcW w:type="dxa" w:w="2498"/>
            <w:tcMar>
              <w:top w:w="90" w:type="dxa"/>
              <w:start w:w="100" w:type="dxa"/>
              <w:bottom w:w="90" w:type="dxa"/>
              <w:end w:w="100" w:type="dxa"/>
            </w:tcMar>
            <w:vAlign w:val="center"/>
          </w:tcPr>
          <w:p>
            <w:r>
              <w:t>Article fondations / état de l’art</w:t>
            </w:r>
          </w:p>
        </w:tc>
      </w:tr>
      <w:tr>
        <w:tc>
          <w:tcPr>
            <w:tcW w:type="dxa" w:w="2498"/>
            <w:tcMar>
              <w:top w:w="90" w:type="dxa"/>
              <w:start w:w="100" w:type="dxa"/>
              <w:bottom w:w="90" w:type="dxa"/>
              <w:end w:w="100" w:type="dxa"/>
            </w:tcMar>
            <w:vAlign w:val="center"/>
          </w:tcPr>
          <w:p>
            <w:r>
              <w:t>2</w:t>
            </w:r>
          </w:p>
        </w:tc>
        <w:tc>
          <w:tcPr>
            <w:tcW w:type="dxa" w:w="2498"/>
            <w:tcMar>
              <w:top w:w="90" w:type="dxa"/>
              <w:start w:w="100" w:type="dxa"/>
              <w:bottom w:w="90" w:type="dxa"/>
              <w:end w:w="100" w:type="dxa"/>
            </w:tcMar>
            <w:vAlign w:val="center"/>
          </w:tcPr>
          <w:p>
            <w:r>
              <w:t>Traces et provenance</w:t>
            </w:r>
          </w:p>
        </w:tc>
        <w:tc>
          <w:tcPr>
            <w:tcW w:type="dxa" w:w="2498"/>
            <w:tcMar>
              <w:top w:w="90" w:type="dxa"/>
              <w:start w:w="100" w:type="dxa"/>
              <w:bottom w:w="90" w:type="dxa"/>
              <w:end w:w="100" w:type="dxa"/>
            </w:tcMar>
            <w:vAlign w:val="center"/>
          </w:tcPr>
          <w:p>
            <w:r>
              <w:t>Fibres d’histoires, mécanismes de production</w:t>
            </w:r>
          </w:p>
        </w:tc>
        <w:tc>
          <w:tcPr>
            <w:tcW w:type="dxa" w:w="2498"/>
            <w:tcMar>
              <w:top w:w="90" w:type="dxa"/>
              <w:start w:w="100" w:type="dxa"/>
              <w:bottom w:w="90" w:type="dxa"/>
              <w:end w:w="100" w:type="dxa"/>
            </w:tcMar>
            <w:vAlign w:val="center"/>
          </w:tcPr>
          <w:p>
            <w:r>
              <w:t>Article provenance</w:t>
            </w:r>
          </w:p>
        </w:tc>
      </w:tr>
      <w:tr>
        <w:tc>
          <w:tcPr>
            <w:tcW w:type="dxa" w:w="2498"/>
            <w:tcMar>
              <w:top w:w="90" w:type="dxa"/>
              <w:start w:w="100" w:type="dxa"/>
              <w:bottom w:w="90" w:type="dxa"/>
              <w:end w:w="100" w:type="dxa"/>
            </w:tcMar>
            <w:vAlign w:val="center"/>
          </w:tcPr>
          <w:p>
            <w:r>
              <w:t>3</w:t>
            </w:r>
          </w:p>
        </w:tc>
        <w:tc>
          <w:tcPr>
            <w:tcW w:type="dxa" w:w="2498"/>
            <w:tcMar>
              <w:top w:w="90" w:type="dxa"/>
              <w:start w:w="100" w:type="dxa"/>
              <w:bottom w:w="90" w:type="dxa"/>
              <w:end w:w="100" w:type="dxa"/>
            </w:tcMar>
            <w:vAlign w:val="center"/>
          </w:tcPr>
          <w:p>
            <w:r>
              <w:t>Reach/UReach et réparabilité</w:t>
            </w:r>
          </w:p>
        </w:tc>
        <w:tc>
          <w:tcPr>
            <w:tcW w:type="dxa" w:w="2498"/>
            <w:tcMar>
              <w:top w:w="90" w:type="dxa"/>
              <w:start w:w="100" w:type="dxa"/>
              <w:bottom w:w="90" w:type="dxa"/>
              <w:end w:w="100" w:type="dxa"/>
            </w:tcMar>
            <w:vAlign w:val="center"/>
          </w:tcPr>
          <w:p>
            <w:r>
              <w:t>Régimes d’action sous information partielle</w:t>
            </w:r>
          </w:p>
        </w:tc>
        <w:tc>
          <w:tcPr>
            <w:tcW w:type="dxa" w:w="2498"/>
            <w:tcMar>
              <w:top w:w="90" w:type="dxa"/>
              <w:start w:w="100" w:type="dxa"/>
              <w:bottom w:w="90" w:type="dxa"/>
              <w:end w:w="100" w:type="dxa"/>
            </w:tcMar>
            <w:vAlign w:val="center"/>
          </w:tcPr>
          <w:p>
            <w:r>
              <w:t>Article réparation uniforme</w:t>
            </w:r>
          </w:p>
        </w:tc>
      </w:tr>
      <w:tr>
        <w:tc>
          <w:tcPr>
            <w:tcW w:type="dxa" w:w="2498"/>
            <w:tcMar>
              <w:top w:w="90" w:type="dxa"/>
              <w:start w:w="100" w:type="dxa"/>
              <w:bottom w:w="90" w:type="dxa"/>
              <w:end w:w="100" w:type="dxa"/>
            </w:tcMar>
            <w:vAlign w:val="center"/>
          </w:tcPr>
          <w:p>
            <w:r>
              <w:t>4</w:t>
            </w:r>
          </w:p>
        </w:tc>
        <w:tc>
          <w:tcPr>
            <w:tcW w:type="dxa" w:w="2498"/>
            <w:tcMar>
              <w:top w:w="90" w:type="dxa"/>
              <w:start w:w="100" w:type="dxa"/>
              <w:bottom w:w="90" w:type="dxa"/>
              <w:end w:w="100" w:type="dxa"/>
            </w:tcMar>
            <w:vAlign w:val="center"/>
          </w:tcPr>
          <w:p>
            <w:r>
              <w:t>Capacités de reprise</w:t>
            </w:r>
          </w:p>
        </w:tc>
        <w:tc>
          <w:tcPr>
            <w:tcW w:type="dxa" w:w="2498"/>
            <w:tcMar>
              <w:top w:w="90" w:type="dxa"/>
              <w:start w:w="100" w:type="dxa"/>
              <w:bottom w:w="90" w:type="dxa"/>
              <w:end w:w="100" w:type="dxa"/>
            </w:tcMar>
            <w:vAlign w:val="center"/>
          </w:tcPr>
          <w:p>
            <w:r>
              <w:t>C(x), témoins finis, séparations</w:t>
            </w:r>
          </w:p>
        </w:tc>
        <w:tc>
          <w:tcPr>
            <w:tcW w:type="dxa" w:w="2498"/>
            <w:tcMar>
              <w:top w:w="90" w:type="dxa"/>
              <w:start w:w="100" w:type="dxa"/>
              <w:bottom w:w="90" w:type="dxa"/>
              <w:end w:w="100" w:type="dxa"/>
            </w:tcMar>
            <w:vAlign w:val="center"/>
          </w:tcPr>
          <w:p>
            <w:r>
              <w:t>Article A</w:t>
            </w:r>
          </w:p>
        </w:tc>
      </w:tr>
      <w:tr>
        <w:tc>
          <w:tcPr>
            <w:tcW w:type="dxa" w:w="2498"/>
            <w:tcMar>
              <w:top w:w="90" w:type="dxa"/>
              <w:start w:w="100" w:type="dxa"/>
              <w:bottom w:w="90" w:type="dxa"/>
              <w:end w:w="100" w:type="dxa"/>
            </w:tcMar>
            <w:vAlign w:val="center"/>
          </w:tcPr>
          <w:p>
            <w:r>
              <w:t>5</w:t>
            </w:r>
          </w:p>
        </w:tc>
        <w:tc>
          <w:tcPr>
            <w:tcW w:type="dxa" w:w="2498"/>
            <w:tcMar>
              <w:top w:w="90" w:type="dxa"/>
              <w:start w:w="100" w:type="dxa"/>
              <w:bottom w:w="90" w:type="dxa"/>
              <w:end w:w="100" w:type="dxa"/>
            </w:tcMar>
            <w:vAlign w:val="center"/>
          </w:tcPr>
          <w:p>
            <w:r>
              <w:t>Invariants et réservance</w:t>
            </w:r>
          </w:p>
        </w:tc>
        <w:tc>
          <w:tcPr>
            <w:tcW w:type="dxa" w:w="2498"/>
            <w:tcMar>
              <w:top w:w="90" w:type="dxa"/>
              <w:start w:w="100" w:type="dxa"/>
              <w:bottom w:w="90" w:type="dxa"/>
              <w:end w:w="100" w:type="dxa"/>
            </w:tcMar>
            <w:vAlign w:val="center"/>
          </w:tcPr>
          <w:p>
            <w:r>
              <w:t>κ, ρ, dépendances, comparaisons</w:t>
            </w:r>
          </w:p>
        </w:tc>
        <w:tc>
          <w:tcPr>
            <w:tcW w:type="dxa" w:w="2498"/>
            <w:tcMar>
              <w:top w:w="90" w:type="dxa"/>
              <w:start w:w="100" w:type="dxa"/>
              <w:bottom w:w="90" w:type="dxa"/>
              <w:end w:w="100" w:type="dxa"/>
            </w:tcMar>
            <w:vAlign w:val="center"/>
          </w:tcPr>
          <w:p>
            <w:r>
              <w:t>Article B</w:t>
            </w:r>
          </w:p>
        </w:tc>
      </w:tr>
      <w:tr>
        <w:tc>
          <w:tcPr>
            <w:tcW w:type="dxa" w:w="2498"/>
            <w:tcMar>
              <w:top w:w="90" w:type="dxa"/>
              <w:start w:w="100" w:type="dxa"/>
              <w:bottom w:w="90" w:type="dxa"/>
              <w:end w:w="100" w:type="dxa"/>
            </w:tcMar>
            <w:vAlign w:val="center"/>
          </w:tcPr>
          <w:p>
            <w:r>
              <w:t>6</w:t>
            </w:r>
          </w:p>
        </w:tc>
        <w:tc>
          <w:tcPr>
            <w:tcW w:type="dxa" w:w="2498"/>
            <w:tcMar>
              <w:top w:w="90" w:type="dxa"/>
              <w:start w:w="100" w:type="dxa"/>
              <w:bottom w:w="90" w:type="dxa"/>
              <w:end w:w="100" w:type="dxa"/>
            </w:tcMar>
            <w:vAlign w:val="center"/>
          </w:tcPr>
          <w:p>
            <w:r>
              <w:t>Filtrations / extinction</w:t>
            </w:r>
          </w:p>
        </w:tc>
        <w:tc>
          <w:tcPr>
            <w:tcW w:type="dxa" w:w="2498"/>
            <w:tcMar>
              <w:top w:w="90" w:type="dxa"/>
              <w:start w:w="100" w:type="dxa"/>
              <w:bottom w:w="90" w:type="dxa"/>
              <w:end w:w="100" w:type="dxa"/>
            </w:tcMar>
            <w:vAlign w:val="center"/>
          </w:tcPr>
          <w:p>
            <w:r>
              <w:t>Monotonie, perte de classe, stabilité</w:t>
            </w:r>
          </w:p>
        </w:tc>
        <w:tc>
          <w:tcPr>
            <w:tcW w:type="dxa" w:w="2498"/>
            <w:tcMar>
              <w:top w:w="90" w:type="dxa"/>
              <w:start w:w="100" w:type="dxa"/>
              <w:bottom w:w="90" w:type="dxa"/>
              <w:end w:w="100" w:type="dxa"/>
            </w:tcMar>
            <w:vAlign w:val="center"/>
          </w:tcPr>
          <w:p>
            <w:r>
              <w:t>Article C</w:t>
            </w:r>
          </w:p>
        </w:tc>
      </w:tr>
      <w:tr>
        <w:tc>
          <w:tcPr>
            <w:tcW w:type="dxa" w:w="2498"/>
            <w:tcMar>
              <w:top w:w="90" w:type="dxa"/>
              <w:start w:w="100" w:type="dxa"/>
              <w:bottom w:w="90" w:type="dxa"/>
              <w:end w:w="100" w:type="dxa"/>
            </w:tcMar>
            <w:vAlign w:val="center"/>
          </w:tcPr>
          <w:p>
            <w:r>
              <w:t>7</w:t>
            </w:r>
          </w:p>
        </w:tc>
        <w:tc>
          <w:tcPr>
            <w:tcW w:type="dxa" w:w="2498"/>
            <w:tcMar>
              <w:top w:w="90" w:type="dxa"/>
              <w:start w:w="100" w:type="dxa"/>
              <w:bottom w:w="90" w:type="dxa"/>
              <w:end w:w="100" w:type="dxa"/>
            </w:tcMar>
            <w:vAlign w:val="center"/>
          </w:tcPr>
          <w:p>
            <w:r>
              <w:t>Mémoire capacitaire</w:t>
            </w:r>
          </w:p>
        </w:tc>
        <w:tc>
          <w:tcPr>
            <w:tcW w:type="dxa" w:w="2498"/>
            <w:tcMar>
              <w:top w:w="90" w:type="dxa"/>
              <w:start w:w="100" w:type="dxa"/>
              <w:bottom w:w="90" w:type="dxa"/>
              <w:end w:w="100" w:type="dxa"/>
            </w:tcMar>
            <w:vAlign w:val="center"/>
          </w:tcPr>
          <w:p>
            <w:r>
              <w:t>Retour observable sans retour capacitaire</w:t>
            </w:r>
          </w:p>
        </w:tc>
        <w:tc>
          <w:tcPr>
            <w:tcW w:type="dxa" w:w="2498"/>
            <w:tcMar>
              <w:top w:w="90" w:type="dxa"/>
              <w:start w:w="100" w:type="dxa"/>
              <w:bottom w:w="90" w:type="dxa"/>
              <w:end w:w="100" w:type="dxa"/>
            </w:tcMar>
            <w:vAlign w:val="center"/>
          </w:tcPr>
          <w:p>
            <w:r>
              <w:t>Article D si H5 survit</w:t>
            </w:r>
          </w:p>
        </w:tc>
      </w:tr>
      <w:tr>
        <w:tc>
          <w:tcPr>
            <w:tcW w:type="dxa" w:w="2498"/>
            <w:tcMar>
              <w:top w:w="90" w:type="dxa"/>
              <w:start w:w="100" w:type="dxa"/>
              <w:bottom w:w="90" w:type="dxa"/>
              <w:end w:w="100" w:type="dxa"/>
            </w:tcMar>
            <w:vAlign w:val="center"/>
          </w:tcPr>
          <w:p>
            <w:r>
              <w:t>8</w:t>
            </w:r>
          </w:p>
        </w:tc>
        <w:tc>
          <w:tcPr>
            <w:tcW w:type="dxa" w:w="2498"/>
            <w:tcMar>
              <w:top w:w="90" w:type="dxa"/>
              <w:start w:w="100" w:type="dxa"/>
              <w:bottom w:w="90" w:type="dxa"/>
              <w:end w:w="100" w:type="dxa"/>
            </w:tcMar>
            <w:vAlign w:val="center"/>
          </w:tcPr>
          <w:p>
            <w:r>
              <w:t>Transports admissibles</w:t>
            </w:r>
          </w:p>
        </w:tc>
        <w:tc>
          <w:tcPr>
            <w:tcW w:type="dxa" w:w="2498"/>
            <w:tcMar>
              <w:top w:w="90" w:type="dxa"/>
              <w:start w:w="100" w:type="dxa"/>
              <w:bottom w:w="90" w:type="dxa"/>
              <w:end w:w="100" w:type="dxa"/>
            </w:tcMar>
            <w:vAlign w:val="center"/>
          </w:tcPr>
          <w:p>
            <w:r>
              <w:t>Fonctorialité, non-commutation, contrôles</w:t>
            </w:r>
          </w:p>
        </w:tc>
        <w:tc>
          <w:tcPr>
            <w:tcW w:type="dxa" w:w="2498"/>
            <w:tcMar>
              <w:top w:w="90" w:type="dxa"/>
              <w:start w:w="100" w:type="dxa"/>
              <w:bottom w:w="90" w:type="dxa"/>
              <w:end w:w="100" w:type="dxa"/>
            </w:tcMar>
            <w:vAlign w:val="center"/>
          </w:tcPr>
          <w:p>
            <w:r>
              <w:t>Article E</w:t>
            </w:r>
          </w:p>
        </w:tc>
      </w:tr>
    </w:tbl>
    <w:p/>
    <w:p>
      <w:pPr>
        <w:pStyle w:val="Heading2"/>
      </w:pPr>
      <w:r>
        <w:t>25.1 Conditions avant toute revendication d’originalité</w:t>
      </w:r>
    </w:p>
    <w:p>
      <w:pPr>
        <w:pStyle w:val="ListBullet"/>
      </w:pPr>
      <w:r>
        <w:t>Comparer reachability, controllability, viability kernels, résilience, automates, systèmes hybrides, percolation, graph cuts, hystérésis, resource theories et catégories de processus.</w:t>
      </w:r>
    </w:p>
    <w:p>
      <w:pPr>
        <w:pStyle w:val="ListBullet"/>
      </w:pPr>
      <w:r>
        <w:t>Séparer vérité mathématique, antériorité historique et artefact de preuve.</w:t>
      </w:r>
    </w:p>
    <w:p>
      <w:pPr>
        <w:pStyle w:val="ListBullet"/>
      </w:pPr>
      <w:r>
        <w:t>Formuler chaque delta de contribution en une phrase testable.</w:t>
      </w:r>
    </w:p>
    <w:p>
      <w:pPr>
        <w:pStyle w:val="ListBullet"/>
      </w:pPr>
      <w:r>
        <w:t>Accepter qu’une absence de séparation ferme le concept concerné.</w:t>
      </w:r>
    </w:p>
    <w:p>
      <w:pPr>
        <w:pStyle w:val="Heading1"/>
      </w:pPr>
      <w:r>
        <w:t>Annexe I — Registre de consolidation v0.14-A</w:t>
      </w:r>
    </w:p>
    <w:tbl>
      <w:tblPr>
        <w:tblStyle w:val="TableGrid"/>
        <w:tblW w:type="auto" w:w="0"/>
        <w:tblLook w:firstColumn="1" w:firstRow="1" w:lastColumn="0" w:lastRow="0" w:noHBand="0" w:noVBand="1" w:val="04A0"/>
      </w:tblPr>
      <w:tblGrid>
        <w:gridCol w:w="2498"/>
        <w:gridCol w:w="2498"/>
        <w:gridCol w:w="2498"/>
        <w:gridCol w:w="2498"/>
      </w:tblGrid>
      <w:tr>
        <w:tc>
          <w:tcPr>
            <w:tcW w:type="dxa" w:w="2498"/>
            <w:shd w:fill="1F4E79"/>
            <w:tcMar>
              <w:top w:w="90" w:type="dxa"/>
              <w:start w:w="100" w:type="dxa"/>
              <w:bottom w:w="90" w:type="dxa"/>
              <w:end w:w="100" w:type="dxa"/>
            </w:tcMar>
          </w:tcPr>
          <w:p>
            <w:r>
              <w:rPr>
                <w:b/>
                <w:color w:val="FFFFFF"/>
              </w:rPr>
              <w:t>Objet</w:t>
            </w:r>
          </w:p>
        </w:tc>
        <w:tc>
          <w:tcPr>
            <w:tcW w:type="dxa" w:w="2498"/>
            <w:shd w:fill="1F4E79"/>
            <w:tcMar>
              <w:top w:w="90" w:type="dxa"/>
              <w:start w:w="100" w:type="dxa"/>
              <w:bottom w:w="90" w:type="dxa"/>
              <w:end w:w="100" w:type="dxa"/>
            </w:tcMar>
          </w:tcPr>
          <w:p>
            <w:r>
              <w:rPr>
                <w:b/>
                <w:color w:val="FFFFFF"/>
              </w:rPr>
              <w:t>Statut</w:t>
            </w:r>
          </w:p>
        </w:tc>
        <w:tc>
          <w:tcPr>
            <w:tcW w:type="dxa" w:w="2498"/>
            <w:shd w:fill="1F4E79"/>
            <w:tcMar>
              <w:top w:w="90" w:type="dxa"/>
              <w:start w:w="100" w:type="dxa"/>
              <w:bottom w:w="90" w:type="dxa"/>
              <w:end w:w="100" w:type="dxa"/>
            </w:tcMar>
          </w:tcPr>
          <w:p>
            <w:r>
              <w:rPr>
                <w:b/>
                <w:color w:val="FFFFFF"/>
              </w:rPr>
              <w:t>Ce qui est acquis</w:t>
            </w:r>
          </w:p>
        </w:tc>
        <w:tc>
          <w:tcPr>
            <w:tcW w:type="dxa" w:w="2498"/>
            <w:shd w:fill="1F4E79"/>
            <w:tcMar>
              <w:top w:w="90" w:type="dxa"/>
              <w:start w:w="100" w:type="dxa"/>
              <w:bottom w:w="90" w:type="dxa"/>
              <w:end w:w="100" w:type="dxa"/>
            </w:tcMar>
          </w:tcPr>
          <w:p>
            <w:r>
              <w:rPr>
                <w:b/>
                <w:color w:val="FFFFFF"/>
              </w:rPr>
              <w:t>Dette restante</w:t>
            </w:r>
          </w:p>
        </w:tc>
      </w:tr>
      <w:tr>
        <w:tc>
          <w:tcPr>
            <w:tcW w:type="dxa" w:w="2498"/>
            <w:tcMar>
              <w:top w:w="90" w:type="dxa"/>
              <w:start w:w="100" w:type="dxa"/>
              <w:bottom w:w="90" w:type="dxa"/>
              <w:end w:w="100" w:type="dxa"/>
            </w:tcMar>
            <w:vAlign w:val="center"/>
          </w:tcPr>
          <w:p>
            <w:r>
              <w:t>Parties I–IV v0.13-A</w:t>
            </w:r>
          </w:p>
        </w:tc>
        <w:tc>
          <w:tcPr>
            <w:tcW w:type="dxa" w:w="2498"/>
            <w:tcMar>
              <w:top w:w="90" w:type="dxa"/>
              <w:start w:w="100" w:type="dxa"/>
              <w:bottom w:w="90" w:type="dxa"/>
              <w:end w:w="100" w:type="dxa"/>
            </w:tcMar>
            <w:vAlign w:val="center"/>
          </w:tcPr>
          <w:p>
            <w:r>
              <w:t>Statuts inchangés</w:t>
            </w:r>
          </w:p>
        </w:tc>
        <w:tc>
          <w:tcPr>
            <w:tcW w:type="dxa" w:w="2498"/>
            <w:tcMar>
              <w:top w:w="90" w:type="dxa"/>
              <w:start w:w="100" w:type="dxa"/>
              <w:bottom w:w="90" w:type="dxa"/>
              <w:end w:w="100" w:type="dxa"/>
            </w:tcMar>
            <w:vAlign w:val="center"/>
          </w:tcPr>
          <w:p>
            <w:r>
              <w:t>Noyau démonstratif et positionnement de provenance</w:t>
            </w:r>
          </w:p>
        </w:tc>
        <w:tc>
          <w:tcPr>
            <w:tcW w:type="dxa" w:w="2498"/>
            <w:tcMar>
              <w:top w:w="90" w:type="dxa"/>
              <w:start w:w="100" w:type="dxa"/>
              <w:bottom w:w="90" w:type="dxa"/>
              <w:end w:w="100" w:type="dxa"/>
            </w:tcMar>
            <w:vAlign w:val="center"/>
          </w:tcPr>
          <w:p>
            <w:r>
              <w:t>Audit externe et bibliographique fin.</w:t>
            </w:r>
          </w:p>
        </w:tc>
      </w:tr>
      <w:tr>
        <w:tc>
          <w:tcPr>
            <w:tcW w:type="dxa" w:w="2498"/>
            <w:tcMar>
              <w:top w:w="90" w:type="dxa"/>
              <w:start w:w="100" w:type="dxa"/>
              <w:bottom w:w="90" w:type="dxa"/>
              <w:end w:w="100" w:type="dxa"/>
            </w:tcMar>
            <w:vAlign w:val="center"/>
          </w:tcPr>
          <w:p>
            <w:r>
              <w:t>C_ℛ(x)</w:t>
            </w:r>
          </w:p>
        </w:tc>
        <w:tc>
          <w:tcPr>
            <w:tcW w:type="dxa" w:w="2498"/>
            <w:tcMar>
              <w:top w:w="90" w:type="dxa"/>
              <w:start w:w="100" w:type="dxa"/>
              <w:bottom w:w="90" w:type="dxa"/>
              <w:end w:w="100" w:type="dxa"/>
            </w:tcMar>
            <w:vAlign w:val="center"/>
          </w:tcPr>
          <w:p>
            <w:r>
              <w:t>[D-cand]</w:t>
            </w:r>
          </w:p>
        </w:tc>
        <w:tc>
          <w:tcPr>
            <w:tcW w:type="dxa" w:w="2498"/>
            <w:tcMar>
              <w:top w:w="90" w:type="dxa"/>
              <w:start w:w="100" w:type="dxa"/>
              <w:bottom w:w="90" w:type="dxa"/>
              <w:end w:w="100" w:type="dxa"/>
            </w:tcMar>
            <w:vAlign w:val="center"/>
          </w:tcPr>
          <w:p>
            <w:r>
              <w:t>Définition de travail structurée</w:t>
            </w:r>
          </w:p>
        </w:tc>
        <w:tc>
          <w:tcPr>
            <w:tcW w:type="dxa" w:w="2498"/>
            <w:tcMar>
              <w:top w:w="90" w:type="dxa"/>
              <w:start w:w="100" w:type="dxa"/>
              <w:bottom w:w="90" w:type="dxa"/>
              <w:end w:w="100" w:type="dxa"/>
            </w:tcMar>
            <w:vAlign w:val="center"/>
          </w:tcPr>
          <w:p>
            <w:r>
              <w:t>Catégorie, isomorphismes, exemples.</w:t>
            </w:r>
          </w:p>
        </w:tc>
      </w:tr>
      <w:tr>
        <w:tc>
          <w:tcPr>
            <w:tcW w:type="dxa" w:w="2498"/>
            <w:tcMar>
              <w:top w:w="90" w:type="dxa"/>
              <w:start w:w="100" w:type="dxa"/>
              <w:bottom w:w="90" w:type="dxa"/>
              <w:end w:w="100" w:type="dxa"/>
            </w:tcMar>
            <w:vAlign w:val="center"/>
          </w:tcPr>
          <w:p>
            <w:r>
              <w:t>Équivalence capacitaire</w:t>
            </w:r>
          </w:p>
        </w:tc>
        <w:tc>
          <w:tcPr>
            <w:tcW w:type="dxa" w:w="2498"/>
            <w:tcMar>
              <w:top w:w="90" w:type="dxa"/>
              <w:start w:w="100" w:type="dxa"/>
              <w:bottom w:w="90" w:type="dxa"/>
              <w:end w:w="100" w:type="dxa"/>
            </w:tcMar>
            <w:vAlign w:val="center"/>
          </w:tcPr>
          <w:p>
            <w:r>
              <w:t>[D-cand]</w:t>
            </w:r>
          </w:p>
        </w:tc>
        <w:tc>
          <w:tcPr>
            <w:tcW w:type="dxa" w:w="2498"/>
            <w:tcMar>
              <w:top w:w="90" w:type="dxa"/>
              <w:start w:w="100" w:type="dxa"/>
              <w:bottom w:w="90" w:type="dxa"/>
              <w:end w:w="100" w:type="dxa"/>
            </w:tcMar>
            <w:vAlign w:val="center"/>
          </w:tcPr>
          <w:p>
            <w:r>
              <w:t>Programme de définition</w:t>
            </w:r>
          </w:p>
        </w:tc>
        <w:tc>
          <w:tcPr>
            <w:tcW w:type="dxa" w:w="2498"/>
            <w:tcMar>
              <w:top w:w="90" w:type="dxa"/>
              <w:start w:w="100" w:type="dxa"/>
              <w:bottom w:w="90" w:type="dxa"/>
              <w:end w:w="100" w:type="dxa"/>
            </w:tcMar>
            <w:vAlign w:val="center"/>
          </w:tcPr>
          <w:p>
            <w:r>
              <w:t>Choix du modèle et propriétés.</w:t>
            </w:r>
          </w:p>
        </w:tc>
      </w:tr>
      <w:tr>
        <w:tc>
          <w:tcPr>
            <w:tcW w:type="dxa" w:w="2498"/>
            <w:tcMar>
              <w:top w:w="90" w:type="dxa"/>
              <w:start w:w="100" w:type="dxa"/>
              <w:bottom w:w="90" w:type="dxa"/>
              <w:end w:w="100" w:type="dxa"/>
            </w:tcMar>
            <w:vAlign w:val="center"/>
          </w:tcPr>
          <w:p>
            <w:r>
              <w:t>Réservance</w:t>
            </w:r>
          </w:p>
        </w:tc>
        <w:tc>
          <w:tcPr>
            <w:tcW w:type="dxa" w:w="2498"/>
            <w:tcMar>
              <w:top w:w="90" w:type="dxa"/>
              <w:start w:w="100" w:type="dxa"/>
              <w:bottom w:w="90" w:type="dxa"/>
              <w:end w:w="100" w:type="dxa"/>
            </w:tcMar>
            <w:vAlign w:val="center"/>
          </w:tcPr>
          <w:p>
            <w:r>
              <w:t>[H]/[D-cand]</w:t>
            </w:r>
          </w:p>
        </w:tc>
        <w:tc>
          <w:tcPr>
            <w:tcW w:type="dxa" w:w="2498"/>
            <w:tcMar>
              <w:top w:w="90" w:type="dxa"/>
              <w:start w:w="100" w:type="dxa"/>
              <w:bottom w:w="90" w:type="dxa"/>
              <w:end w:w="100" w:type="dxa"/>
            </w:tcMar>
            <w:vAlign w:val="center"/>
          </w:tcPr>
          <w:p>
            <w:r>
              <w:t>Concept comparatif</w:t>
            </w:r>
          </w:p>
        </w:tc>
        <w:tc>
          <w:tcPr>
            <w:tcW w:type="dxa" w:w="2498"/>
            <w:tcMar>
              <w:top w:w="90" w:type="dxa"/>
              <w:start w:w="100" w:type="dxa"/>
              <w:bottom w:w="90" w:type="dxa"/>
              <w:end w:w="100" w:type="dxa"/>
            </w:tcMar>
            <w:vAlign w:val="center"/>
          </w:tcPr>
          <w:p>
            <w:r>
              <w:t>Théorème de séparation.</w:t>
            </w:r>
          </w:p>
        </w:tc>
      </w:tr>
      <w:tr>
        <w:tc>
          <w:tcPr>
            <w:tcW w:type="dxa" w:w="2498"/>
            <w:tcMar>
              <w:top w:w="90" w:type="dxa"/>
              <w:start w:w="100" w:type="dxa"/>
              <w:bottom w:w="90" w:type="dxa"/>
              <w:end w:w="100" w:type="dxa"/>
            </w:tcMar>
            <w:vAlign w:val="center"/>
          </w:tcPr>
          <w:p>
            <w:r>
              <w:t>Criticité / mémoire / irréversibilité générative</w:t>
            </w:r>
          </w:p>
        </w:tc>
        <w:tc>
          <w:tcPr>
            <w:tcW w:type="dxa" w:w="2498"/>
            <w:tcMar>
              <w:top w:w="90" w:type="dxa"/>
              <w:start w:w="100" w:type="dxa"/>
              <w:bottom w:w="90" w:type="dxa"/>
              <w:end w:w="100" w:type="dxa"/>
            </w:tcMar>
            <w:vAlign w:val="center"/>
          </w:tcPr>
          <w:p>
            <w:r>
              <w:t>[H]</w:t>
            </w:r>
          </w:p>
        </w:tc>
        <w:tc>
          <w:tcPr>
            <w:tcW w:type="dxa" w:w="2498"/>
            <w:tcMar>
              <w:top w:w="90" w:type="dxa"/>
              <w:start w:w="100" w:type="dxa"/>
              <w:bottom w:w="90" w:type="dxa"/>
              <w:end w:w="100" w:type="dxa"/>
            </w:tcMar>
            <w:vAlign w:val="center"/>
          </w:tcPr>
          <w:p>
            <w:r>
              <w:t>Hypothèses falsifiables</w:t>
            </w:r>
          </w:p>
        </w:tc>
        <w:tc>
          <w:tcPr>
            <w:tcW w:type="dxa" w:w="2498"/>
            <w:tcMar>
              <w:top w:w="90" w:type="dxa"/>
              <w:start w:w="100" w:type="dxa"/>
              <w:bottom w:w="90" w:type="dxa"/>
              <w:end w:w="100" w:type="dxa"/>
            </w:tcMar>
            <w:vAlign w:val="center"/>
          </w:tcPr>
          <w:p>
            <w:r>
              <w:t>Témoins et contre-exemples.</w:t>
            </w:r>
          </w:p>
        </w:tc>
      </w:tr>
      <w:tr>
        <w:tc>
          <w:tcPr>
            <w:tcW w:type="dxa" w:w="2498"/>
            <w:tcMar>
              <w:top w:w="90" w:type="dxa"/>
              <w:start w:w="100" w:type="dxa"/>
              <w:bottom w:w="90" w:type="dxa"/>
              <w:end w:w="100" w:type="dxa"/>
            </w:tcMar>
            <w:vAlign w:val="center"/>
          </w:tcPr>
          <w:p>
            <w:r>
              <w:t>Théorème d’extinction</w:t>
            </w:r>
          </w:p>
        </w:tc>
        <w:tc>
          <w:tcPr>
            <w:tcW w:type="dxa" w:w="2498"/>
            <w:tcMar>
              <w:top w:w="90" w:type="dxa"/>
              <w:start w:w="100" w:type="dxa"/>
              <w:bottom w:w="90" w:type="dxa"/>
              <w:end w:w="100" w:type="dxa"/>
            </w:tcMar>
            <w:vAlign w:val="center"/>
          </w:tcPr>
          <w:p>
            <w:r>
              <w:t>[O] cible</w:t>
            </w:r>
          </w:p>
        </w:tc>
        <w:tc>
          <w:tcPr>
            <w:tcW w:type="dxa" w:w="2498"/>
            <w:tcMar>
              <w:top w:w="90" w:type="dxa"/>
              <w:start w:w="100" w:type="dxa"/>
              <w:bottom w:w="90" w:type="dxa"/>
              <w:end w:w="100" w:type="dxa"/>
            </w:tcMar>
            <w:vAlign w:val="center"/>
          </w:tcPr>
          <w:p>
            <w:r>
              <w:t>Filtration formalisée comme question</w:t>
            </w:r>
          </w:p>
        </w:tc>
        <w:tc>
          <w:tcPr>
            <w:tcW w:type="dxa" w:w="2498"/>
            <w:tcMar>
              <w:top w:w="90" w:type="dxa"/>
              <w:start w:w="100" w:type="dxa"/>
              <w:bottom w:w="90" w:type="dxa"/>
              <w:end w:w="100" w:type="dxa"/>
            </w:tcMar>
            <w:vAlign w:val="center"/>
          </w:tcPr>
          <w:p>
            <w:r>
              <w:t>Énoncé et preuve sous hypothèses.</w:t>
            </w:r>
          </w:p>
        </w:tc>
      </w:tr>
      <w:tr>
        <w:tc>
          <w:tcPr>
            <w:tcW w:type="dxa" w:w="2498"/>
            <w:tcMar>
              <w:top w:w="90" w:type="dxa"/>
              <w:start w:w="100" w:type="dxa"/>
              <w:bottom w:w="90" w:type="dxa"/>
              <w:end w:w="100" w:type="dxa"/>
            </w:tcMar>
            <w:vAlign w:val="center"/>
          </w:tcPr>
          <w:p>
            <w:r>
              <w:t>Transports / géométrisation</w:t>
            </w:r>
          </w:p>
        </w:tc>
        <w:tc>
          <w:tcPr>
            <w:tcW w:type="dxa" w:w="2498"/>
            <w:tcMar>
              <w:top w:w="90" w:type="dxa"/>
              <w:start w:w="100" w:type="dxa"/>
              <w:bottom w:w="90" w:type="dxa"/>
              <w:end w:w="100" w:type="dxa"/>
            </w:tcMar>
            <w:vAlign w:val="center"/>
          </w:tcPr>
          <w:p>
            <w:r>
              <w:t>[H]/[O]</w:t>
            </w:r>
          </w:p>
        </w:tc>
        <w:tc>
          <w:tcPr>
            <w:tcW w:type="dxa" w:w="2498"/>
            <w:tcMar>
              <w:top w:w="90" w:type="dxa"/>
              <w:start w:w="100" w:type="dxa"/>
              <w:bottom w:w="90" w:type="dxa"/>
              <w:end w:w="100" w:type="dxa"/>
            </w:tcMar>
            <w:vAlign w:val="center"/>
          </w:tcPr>
          <w:p>
            <w:r>
              <w:t>Hiérarchie des défauts</w:t>
            </w:r>
          </w:p>
        </w:tc>
        <w:tc>
          <w:tcPr>
            <w:tcW w:type="dxa" w:w="2498"/>
            <w:tcMar>
              <w:top w:w="90" w:type="dxa"/>
              <w:start w:w="100" w:type="dxa"/>
              <w:bottom w:w="90" w:type="dxa"/>
              <w:end w:w="100" w:type="dxa"/>
            </w:tcMar>
            <w:vAlign w:val="center"/>
          </w:tcPr>
          <w:p>
            <w:r>
              <w:t>Opérateurs, contrôles, invariants.</w:t>
            </w:r>
          </w:p>
        </w:tc>
      </w:tr>
      <w:tr>
        <w:tc>
          <w:tcPr>
            <w:tcW w:type="dxa" w:w="2498"/>
            <w:tcMar>
              <w:top w:w="90" w:type="dxa"/>
              <w:start w:w="100" w:type="dxa"/>
              <w:bottom w:w="90" w:type="dxa"/>
              <w:end w:w="100" w:type="dxa"/>
            </w:tcMar>
            <w:vAlign w:val="center"/>
          </w:tcPr>
          <w:p>
            <w:r>
              <w:t>H7-philo</w:t>
            </w:r>
          </w:p>
        </w:tc>
        <w:tc>
          <w:tcPr>
            <w:tcW w:type="dxa" w:w="2498"/>
            <w:tcMar>
              <w:top w:w="90" w:type="dxa"/>
              <w:start w:w="100" w:type="dxa"/>
              <w:bottom w:w="90" w:type="dxa"/>
              <w:end w:w="100" w:type="dxa"/>
            </w:tcMar>
            <w:vAlign w:val="center"/>
          </w:tcPr>
          <w:p>
            <w:r>
              <w:t>[H-philo]</w:t>
            </w:r>
          </w:p>
        </w:tc>
        <w:tc>
          <w:tcPr>
            <w:tcW w:type="dxa" w:w="2498"/>
            <w:tcMar>
              <w:top w:w="90" w:type="dxa"/>
              <w:start w:w="100" w:type="dxa"/>
              <w:bottom w:w="90" w:type="dxa"/>
              <w:end w:w="100" w:type="dxa"/>
            </w:tcMar>
            <w:vAlign w:val="center"/>
          </w:tcPr>
          <w:p>
            <w:r>
              <w:t>Intuition protégée</w:t>
            </w:r>
          </w:p>
        </w:tc>
        <w:tc>
          <w:tcPr>
            <w:tcW w:type="dxa" w:w="2498"/>
            <w:tcMar>
              <w:top w:w="90" w:type="dxa"/>
              <w:start w:w="100" w:type="dxa"/>
              <w:bottom w:w="90" w:type="dxa"/>
              <w:end w:w="100" w:type="dxa"/>
            </w:tcMar>
            <w:vAlign w:val="center"/>
          </w:tcPr>
          <w:p>
            <w:r>
              <w:t>Aucune promotion scientifique prévue.</w:t>
            </w:r>
          </w:p>
        </w:tc>
      </w:tr>
    </w:tbl>
    <w:p/>
    <w:tbl>
      <w:tblPr>
        <w:tblW w:type="auto" w:w="0"/>
        <w:tblLook w:firstColumn="1" w:firstRow="1" w:lastColumn="0" w:lastRow="0" w:noHBand="0" w:noVBand="1" w:val="04A0"/>
      </w:tblPr>
      <w:tblGrid>
        <w:gridCol w:w="9994"/>
      </w:tblGrid>
      <w:tr>
        <w:tc>
          <w:tcPr>
            <w:tcW w:type="dxa" w:w="9994"/>
            <w:shd w:fill="E8F5E9"/>
            <w:tcMar>
              <w:top w:w="140" w:type="dxa"/>
              <w:start w:w="160" w:type="dxa"/>
              <w:bottom w:w="140" w:type="dxa"/>
              <w:end w:w="160" w:type="dxa"/>
            </w:tcMar>
            <w:vAlign w:val="center"/>
          </w:tcPr>
          <w:p>
            <w:r>
              <w:rPr>
                <w:b/>
                <w:color w:val="1F4E79"/>
              </w:rPr>
              <w:t xml:space="preserve">Principe final v0.14-A — </w:t>
            </w:r>
            <w:r>
              <w:t>La reconstruction qualifie ce qui reste déterminable ; la restauration qualifie ce qui reste faisable ; la provenance qualifie le chemin ; la capacité de reprise qualifie ce qui reste encore possible.</w:t>
            </w:r>
          </w:p>
        </w:tc>
      </w:tr>
    </w:tbl>
    <w:p/>
    <w:p>
      <w:pPr>
        <w:pStyle w:val="Heading1"/>
      </w:pPr>
      <w:r>
        <w:t>ANNEXE G — Capacités structurées, réservance et programme de contre-tests</w:t>
      </w:r>
    </w:p>
    <w:p>
      <w:pPr>
        <w:jc w:val="center"/>
      </w:pPr>
      <w:r>
        <w:rPr>
          <w:i/>
        </w:rPr>
        <w:t>Consolidation comparative des états du 20 et du 21 août 2026</w:t>
      </w:r>
    </w:p>
    <w:tbl>
      <w:tblPr>
        <w:tblW w:type="auto" w:w="0"/>
        <w:jc w:val="center"/>
        <w:tblLook w:firstColumn="1" w:firstRow="1" w:lastColumn="0" w:lastRow="0" w:noHBand="0" w:noVBand="1" w:val="04A0"/>
      </w:tblPr>
      <w:tblGrid>
        <w:gridCol w:w="9936"/>
      </w:tblGrid>
      <w:tr>
        <w:tc>
          <w:tcPr>
            <w:tcW w:type="dxa" w:w="9936"/>
            <w:shd w:fill="EAF2F8"/>
            <w:vAlign w:val="center"/>
          </w:tcPr>
          <w:p>
            <w:r>
              <w:rPr>
                <w:b/>
                <w:color w:val="1F4E79"/>
              </w:rPr>
              <w:t xml:space="preserve">Statut — </w:t>
            </w:r>
            <w:r>
              <w:t>Cette annexe conserve les intuitions capacitaires les plus fécondes des états longs du 20 août, mais les subordonne au repositionnement scientifique de la v0.14-A : les résultats finis restent séparés de leur transposition cyber, la scalarisation globale n’est pas présupposée, et les fibres de réalisation demeurent le centre doctoral.</w:t>
            </w:r>
          </w:p>
        </w:tc>
      </w:tr>
    </w:tbl>
    <w:p/>
    <w:p>
      <w:pPr>
        <w:pStyle w:val="Heading2"/>
      </w:pPr>
      <w:r>
        <w:t>G.1 Objet structuré de capacité</w:t>
      </w:r>
    </w:p>
    <w:p>
      <w:r>
        <w:t>Pour un état x et un régime R explicitement fixé (ressources, actions admissibles, horizon, budget, incertitude, racines de confiance et politique d’autorité), on retient comme schéma de travail une capacité structurée C_R(x)=(Tar_x, Path_x, c_x, Cut_x). Tar_x décrit les cibles restaurables ; Path_x les chemins ou plans admissibles ; c_x leurs coûts, délais et ressources ; Cut_x les obstructions et dépendances communes capables d’interrompre les reprises. Cette structure est un objet de comparaison, non une métrique universelle.</w:t>
      </w:r>
    </w:p>
    <w:p>
      <w:r>
        <w:t>La lecture par fibres de réalisation précise le statut de cet objet : un même comportement extensionnel peut être produit par plusieurs mécanismes, avec des profils de coût et des vulnérabilités différents. L’enjeu n’est donc pas seulement de savoir si une cible reste atteignable, mais ce que l’observable ne détermine pas des mécanismes qui rendent cette atteignabilité possible.</w:t>
      </w:r>
    </w:p>
    <w:p>
      <w:pPr>
        <w:pStyle w:val="Heading2"/>
      </w:pPr>
      <w:r>
        <w:t>G.2 Réservance : définition prudente</w:t>
      </w:r>
    </w:p>
    <w:p>
      <w:r>
        <w:t>On appelle provisoirement réservance la diversité structurée des reprises encore disponibles après transformation. Elle ne se réduit ni au nombre de chemins, ni au nombre de sauvegardes, ni à la disponibilité, ni à une robustesse locale. Son statut reste [H]/[D-cand] tant qu’aucun théorème de séparation avec les notions classiques de résilience, viabilité, survivabilité ou redondance n’est établi.</w:t>
      </w:r>
    </w:p>
    <w:tbl>
      <w:tblPr>
        <w:tblW w:type="auto" w:w="0"/>
        <w:jc w:val="center"/>
        <w:tblLook w:firstColumn="1" w:firstRow="1" w:lastColumn="0" w:lastRow="0" w:noHBand="0" w:noVBand="1" w:val="04A0"/>
      </w:tblPr>
      <w:tblGrid>
        <w:gridCol w:w="9936"/>
      </w:tblGrid>
      <w:tr>
        <w:tc>
          <w:tcPr>
            <w:tcW w:type="dxa" w:w="9936"/>
            <w:shd w:fill="EAF2F8"/>
            <w:vAlign w:val="center"/>
          </w:tcPr>
          <w:p>
            <w:r>
              <w:rPr>
                <w:b/>
                <w:color w:val="1F4E79"/>
              </w:rPr>
              <w:t xml:space="preserve">Garde-fou — </w:t>
            </w:r>
            <w:r>
              <w:t>Un résidu n’est intéressant qu’après soustraction de ce qui devait déjà être là. Toute prétention d’originalité capacitaire doit donc survivre à un test d’antériorité et à des contre-tests qui neutralisent les invariants grossiers.</w:t>
            </w:r>
          </w:p>
        </w:tc>
      </w:tr>
    </w:tbl>
    <w:p/>
    <w:p>
      <w:pPr>
        <w:pStyle w:val="Heading2"/>
      </w:pPr>
      <w:r>
        <w:t>G.3 Trois invariants minimaux et leur insuffisance</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F4E79"/>
            <w:vAlign w:val="center"/>
          </w:tcPr>
          <w:p>
            <w:pPr>
              <w:jc w:val="center"/>
            </w:pPr>
            <w:r>
              <w:rPr>
                <w:b/>
                <w:color w:val="FFFFFF"/>
                <w:sz w:val="18"/>
              </w:rPr>
              <w:t>Objet</w:t>
            </w:r>
          </w:p>
        </w:tc>
        <w:tc>
          <w:tcPr>
            <w:tcW w:type="dxa" w:w="3312"/>
            <w:shd w:fill="1F4E79"/>
            <w:vAlign w:val="center"/>
          </w:tcPr>
          <w:p>
            <w:pPr>
              <w:jc w:val="center"/>
            </w:pPr>
            <w:r>
              <w:rPr>
                <w:b/>
                <w:color w:val="FFFFFF"/>
                <w:sz w:val="18"/>
              </w:rPr>
              <w:t>Lecture</w:t>
            </w:r>
          </w:p>
        </w:tc>
        <w:tc>
          <w:tcPr>
            <w:tcW w:type="dxa" w:w="3312"/>
            <w:shd w:fill="1F4E79"/>
            <w:vAlign w:val="center"/>
          </w:tcPr>
          <w:p>
            <w:pPr>
              <w:jc w:val="center"/>
            </w:pPr>
            <w:r>
              <w:rPr>
                <w:b/>
                <w:color w:val="FFFFFF"/>
                <w:sz w:val="18"/>
              </w:rPr>
              <w:t>Statut</w:t>
            </w:r>
          </w:p>
        </w:tc>
      </w:tr>
      <w:tr>
        <w:tc>
          <w:tcPr>
            <w:tcW w:type="dxa" w:w="3312"/>
            <w:vAlign w:val="center"/>
          </w:tcPr>
          <w:p>
            <w:pPr>
              <w:spacing w:after="0"/>
            </w:pPr>
            <w:r>
              <w:rPr>
                <w:sz w:val="17"/>
              </w:rPr>
              <w:t>κ_C(x,t)</w:t>
            </w:r>
          </w:p>
        </w:tc>
        <w:tc>
          <w:tcPr>
            <w:tcW w:type="dxa" w:w="3312"/>
            <w:vAlign w:val="center"/>
          </w:tcPr>
          <w:p>
            <w:pPr>
              <w:spacing w:after="0"/>
            </w:pPr>
            <w:r>
              <w:rPr>
                <w:sz w:val="17"/>
              </w:rPr>
              <w:t>Taille minimale d’une coupure supprimant toutes les voies admissibles vers la cible t.</w:t>
            </w:r>
          </w:p>
        </w:tc>
        <w:tc>
          <w:tcPr>
            <w:tcW w:type="dxa" w:w="3312"/>
            <w:vAlign w:val="center"/>
          </w:tcPr>
          <w:p>
            <w:pPr>
              <w:spacing w:after="0"/>
            </w:pPr>
            <w:r>
              <w:rPr>
                <w:sz w:val="17"/>
              </w:rPr>
              <w:t>[D-classical] dans le modèle fixé</w:t>
            </w:r>
          </w:p>
        </w:tc>
      </w:tr>
      <w:tr>
        <w:tc>
          <w:tcPr>
            <w:tcW w:type="dxa" w:w="3312"/>
            <w:vAlign w:val="center"/>
          </w:tcPr>
          <w:p>
            <w:pPr>
              <w:spacing w:after="0"/>
            </w:pPr>
            <w:r>
              <w:rPr>
                <w:sz w:val="17"/>
              </w:rPr>
              <w:t>ρ_C(x,t)</w:t>
            </w:r>
          </w:p>
        </w:tc>
        <w:tc>
          <w:tcPr>
            <w:tcW w:type="dxa" w:w="3312"/>
            <w:vAlign w:val="center"/>
          </w:tcPr>
          <w:p>
            <w:pPr>
              <w:spacing w:after="0"/>
            </w:pPr>
            <w:r>
              <w:rPr>
                <w:sz w:val="17"/>
              </w:rPr>
              <w:t>Coût minimal d’une reprise admissible vers t.</w:t>
            </w:r>
          </w:p>
        </w:tc>
        <w:tc>
          <w:tcPr>
            <w:tcW w:type="dxa" w:w="3312"/>
            <w:vAlign w:val="center"/>
          </w:tcPr>
          <w:p>
            <w:pPr>
              <w:spacing w:after="0"/>
            </w:pPr>
            <w:r>
              <w:rPr>
                <w:sz w:val="17"/>
              </w:rPr>
              <w:t>[D-classical] dans le modèle fixé</w:t>
            </w:r>
          </w:p>
        </w:tc>
      </w:tr>
      <w:tr>
        <w:tc>
          <w:tcPr>
            <w:tcW w:type="dxa" w:w="3312"/>
            <w:vAlign w:val="center"/>
          </w:tcPr>
          <w:p>
            <w:pPr>
              <w:spacing w:after="0"/>
            </w:pPr>
            <w:r>
              <w:rPr>
                <w:sz w:val="17"/>
              </w:rPr>
              <w:t>K_C(x,t)</w:t>
            </w:r>
          </w:p>
        </w:tc>
        <w:tc>
          <w:tcPr>
            <w:tcW w:type="dxa" w:w="3312"/>
            <w:vAlign w:val="center"/>
          </w:tcPr>
          <w:p>
            <w:pPr>
              <w:spacing w:after="0"/>
            </w:pPr>
            <w:r>
              <w:rPr>
                <w:sz w:val="17"/>
              </w:rPr>
              <w:t>Famille / hypergraphe des coupures minimales.</w:t>
            </w:r>
          </w:p>
        </w:tc>
        <w:tc>
          <w:tcPr>
            <w:tcW w:type="dxa" w:w="3312"/>
            <w:vAlign w:val="center"/>
          </w:tcPr>
          <w:p>
            <w:pPr>
              <w:spacing w:after="0"/>
            </w:pPr>
            <w:r>
              <w:rPr>
                <w:sz w:val="17"/>
              </w:rPr>
              <w:t>[D-def / substrat classique]</w:t>
            </w:r>
          </w:p>
        </w:tc>
      </w:tr>
    </w:tbl>
    <w:p/>
    <w:p>
      <w:r>
        <w:t>Le contre-test A/B du 20 août montre qu’un résumé fondé seulement sur les cibles, le nombre de chemins, ρ_C et κ_C peut identifier à tort deux architectures dont les vulnérabilités diffèrent. La famille K_C doit alors être conservée. Cette leçon est cohérente avec le principe général du manuscrit : les résumés extensionnels peuvent oublier la structure de leurs réalisations.</w:t>
      </w:r>
    </w:p>
    <w:p>
      <w:pPr>
        <w:pStyle w:val="Heading2"/>
      </w:pPr>
      <w:r>
        <w:t>G.4 Hypothèses capacitaires à réfuter</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1F4E79"/>
            <w:vAlign w:val="center"/>
          </w:tcPr>
          <w:p>
            <w:pPr>
              <w:jc w:val="center"/>
            </w:pPr>
            <w:r>
              <w:rPr>
                <w:b/>
                <w:color w:val="FFFFFF"/>
                <w:sz w:val="18"/>
              </w:rPr>
              <w:t>ID</w:t>
            </w:r>
          </w:p>
        </w:tc>
        <w:tc>
          <w:tcPr>
            <w:tcW w:type="dxa" w:w="2484"/>
            <w:shd w:fill="1F4E79"/>
            <w:vAlign w:val="center"/>
          </w:tcPr>
          <w:p>
            <w:pPr>
              <w:jc w:val="center"/>
            </w:pPr>
            <w:r>
              <w:rPr>
                <w:b/>
                <w:color w:val="FFFFFF"/>
                <w:sz w:val="18"/>
              </w:rPr>
              <w:t>Hypothèse</w:t>
            </w:r>
          </w:p>
        </w:tc>
        <w:tc>
          <w:tcPr>
            <w:tcW w:type="dxa" w:w="2484"/>
            <w:shd w:fill="1F4E79"/>
            <w:vAlign w:val="center"/>
          </w:tcPr>
          <w:p>
            <w:pPr>
              <w:jc w:val="center"/>
            </w:pPr>
            <w:r>
              <w:rPr>
                <w:b/>
                <w:color w:val="FFFFFF"/>
                <w:sz w:val="18"/>
              </w:rPr>
              <w:t>Test hostile minimal</w:t>
            </w:r>
          </w:p>
        </w:tc>
        <w:tc>
          <w:tcPr>
            <w:tcW w:type="dxa" w:w="2484"/>
            <w:shd w:fill="1F4E79"/>
            <w:vAlign w:val="center"/>
          </w:tcPr>
          <w:p>
            <w:pPr>
              <w:jc w:val="center"/>
            </w:pPr>
            <w:r>
              <w:rPr>
                <w:b/>
                <w:color w:val="FFFFFF"/>
                <w:sz w:val="18"/>
              </w:rPr>
              <w:t>Critère de démotion</w:t>
            </w:r>
          </w:p>
        </w:tc>
      </w:tr>
      <w:tr>
        <w:tc>
          <w:tcPr>
            <w:tcW w:type="dxa" w:w="2484"/>
            <w:vAlign w:val="center"/>
          </w:tcPr>
          <w:p>
            <w:pPr>
              <w:spacing w:after="0"/>
            </w:pPr>
            <w:r>
              <w:rPr>
                <w:sz w:val="17"/>
              </w:rPr>
              <w:t>H1</w:t>
            </w:r>
          </w:p>
        </w:tc>
        <w:tc>
          <w:tcPr>
            <w:tcW w:type="dxa" w:w="2484"/>
            <w:vAlign w:val="center"/>
          </w:tcPr>
          <w:p>
            <w:pPr>
              <w:spacing w:after="0"/>
            </w:pPr>
            <w:r>
              <w:rPr>
                <w:sz w:val="17"/>
              </w:rPr>
              <w:t>La géométrie des futurs accessibles peut être plus informative que le seul état.</w:t>
            </w:r>
          </w:p>
        </w:tc>
        <w:tc>
          <w:tcPr>
            <w:tcW w:type="dxa" w:w="2484"/>
            <w:vAlign w:val="center"/>
          </w:tcPr>
          <w:p>
            <w:pPr>
              <w:spacing w:after="0"/>
            </w:pPr>
            <w:r>
              <w:rPr>
                <w:sz w:val="17"/>
              </w:rPr>
              <w:t>Construire des états observablement équivalents mais de structures de reprise distinctes.</w:t>
            </w:r>
          </w:p>
        </w:tc>
        <w:tc>
          <w:tcPr>
            <w:tcW w:type="dxa" w:w="2484"/>
            <w:vAlign w:val="center"/>
          </w:tcPr>
          <w:p>
            <w:pPr>
              <w:spacing w:after="0"/>
            </w:pPr>
            <w:r>
              <w:rPr>
                <w:sz w:val="17"/>
              </w:rPr>
              <w:t>Aucune différence reproductible ou différence déjà captée par un invariant classique.</w:t>
            </w:r>
          </w:p>
        </w:tc>
      </w:tr>
      <w:tr>
        <w:tc>
          <w:tcPr>
            <w:tcW w:type="dxa" w:w="2484"/>
            <w:vAlign w:val="center"/>
          </w:tcPr>
          <w:p>
            <w:pPr>
              <w:spacing w:after="0"/>
            </w:pPr>
            <w:r>
              <w:rPr>
                <w:sz w:val="17"/>
              </w:rPr>
              <w:t>H2</w:t>
            </w:r>
          </w:p>
        </w:tc>
        <w:tc>
          <w:tcPr>
            <w:tcW w:type="dxa" w:w="2484"/>
            <w:vAlign w:val="center"/>
          </w:tcPr>
          <w:p>
            <w:pPr>
              <w:spacing w:after="0"/>
            </w:pPr>
            <w:r>
              <w:rPr>
                <w:sz w:val="17"/>
              </w:rPr>
              <w:t>La réservance porte une information distincte de la robustesse locale.</w:t>
            </w:r>
          </w:p>
        </w:tc>
        <w:tc>
          <w:tcPr>
            <w:tcW w:type="dxa" w:w="2484"/>
            <w:vAlign w:val="center"/>
          </w:tcPr>
          <w:p>
            <w:pPr>
              <w:spacing w:after="0"/>
            </w:pPr>
            <w:r>
              <w:rPr>
                <w:sz w:val="17"/>
              </w:rPr>
              <w:t>Égaliser disponibilité, coût minimal et nombre de chemins, puis varier les dépendances/coupures.</w:t>
            </w:r>
          </w:p>
        </w:tc>
        <w:tc>
          <w:tcPr>
            <w:tcW w:type="dxa" w:w="2484"/>
            <w:vAlign w:val="center"/>
          </w:tcPr>
          <w:p>
            <w:pPr>
              <w:spacing w:after="0"/>
            </w:pPr>
            <w:r>
              <w:rPr>
                <w:sz w:val="17"/>
              </w:rPr>
              <w:t>Aucun gain après contrôle des baselines.</w:t>
            </w:r>
          </w:p>
        </w:tc>
      </w:tr>
      <w:tr>
        <w:tc>
          <w:tcPr>
            <w:tcW w:type="dxa" w:w="2484"/>
            <w:vAlign w:val="center"/>
          </w:tcPr>
          <w:p>
            <w:pPr>
              <w:spacing w:after="0"/>
            </w:pPr>
            <w:r>
              <w:rPr>
                <w:sz w:val="17"/>
              </w:rPr>
              <w:t>H3</w:t>
            </w:r>
          </w:p>
        </w:tc>
        <w:tc>
          <w:tcPr>
            <w:tcW w:type="dxa" w:w="2484"/>
            <w:vAlign w:val="center"/>
          </w:tcPr>
          <w:p>
            <w:pPr>
              <w:spacing w:after="0"/>
            </w:pPr>
            <w:r>
              <w:rPr>
                <w:sz w:val="17"/>
              </w:rPr>
              <w:t>L’optimisation présente peut éroder silencieusement les reprises.</w:t>
            </w:r>
          </w:p>
        </w:tc>
        <w:tc>
          <w:tcPr>
            <w:tcW w:type="dxa" w:w="2484"/>
            <w:vAlign w:val="center"/>
          </w:tcPr>
          <w:p>
            <w:pPr>
              <w:spacing w:after="0"/>
            </w:pPr>
            <w:r>
              <w:rPr>
                <w:sz w:val="17"/>
              </w:rPr>
              <w:t>Maintenir les observables nominales tout en supprimant des voies indépendantes.</w:t>
            </w:r>
          </w:p>
        </w:tc>
        <w:tc>
          <w:tcPr>
            <w:tcW w:type="dxa" w:w="2484"/>
            <w:vAlign w:val="center"/>
          </w:tcPr>
          <w:p>
            <w:pPr>
              <w:spacing w:after="0"/>
            </w:pPr>
            <w:r>
              <w:rPr>
                <w:sz w:val="17"/>
              </w:rPr>
              <w:t>Pas de signal stable avant la panne ou signal redondant.</w:t>
            </w:r>
          </w:p>
        </w:tc>
      </w:tr>
      <w:tr>
        <w:tc>
          <w:tcPr>
            <w:tcW w:type="dxa" w:w="2484"/>
            <w:vAlign w:val="center"/>
          </w:tcPr>
          <w:p>
            <w:pPr>
              <w:spacing w:after="0"/>
            </w:pPr>
            <w:r>
              <w:rPr>
                <w:sz w:val="17"/>
              </w:rPr>
              <w:t>H4</w:t>
            </w:r>
          </w:p>
        </w:tc>
        <w:tc>
          <w:tcPr>
            <w:tcW w:type="dxa" w:w="2484"/>
            <w:vAlign w:val="center"/>
          </w:tcPr>
          <w:p>
            <w:pPr>
              <w:spacing w:after="0"/>
            </w:pPr>
            <w:r>
              <w:rPr>
                <w:sz w:val="17"/>
              </w:rPr>
              <w:t>Une transition critique capacitaire peut apparaître à la disparition des dernières voies indépendantes.</w:t>
            </w:r>
          </w:p>
        </w:tc>
        <w:tc>
          <w:tcPr>
            <w:tcW w:type="dxa" w:w="2484"/>
            <w:vAlign w:val="center"/>
          </w:tcPr>
          <w:p>
            <w:pPr>
              <w:spacing w:after="0"/>
            </w:pPr>
            <w:r>
              <w:rPr>
                <w:sz w:val="17"/>
              </w:rPr>
              <w:t>Forcer une trajectoire κ: 3→2→1→0 sous cible et régime fixés.</w:t>
            </w:r>
          </w:p>
        </w:tc>
        <w:tc>
          <w:tcPr>
            <w:tcW w:type="dxa" w:w="2484"/>
            <w:vAlign w:val="center"/>
          </w:tcPr>
          <w:p>
            <w:pPr>
              <w:spacing w:after="0"/>
            </w:pPr>
            <w:r>
              <w:rPr>
                <w:sz w:val="17"/>
              </w:rPr>
              <w:t>Pas de changement qualitatif mesurable.</w:t>
            </w:r>
          </w:p>
        </w:tc>
      </w:tr>
      <w:tr>
        <w:tc>
          <w:tcPr>
            <w:tcW w:type="dxa" w:w="2484"/>
            <w:vAlign w:val="center"/>
          </w:tcPr>
          <w:p>
            <w:pPr>
              <w:spacing w:after="0"/>
            </w:pPr>
            <w:r>
              <w:rPr>
                <w:sz w:val="17"/>
              </w:rPr>
              <w:t>H5</w:t>
            </w:r>
          </w:p>
        </w:tc>
        <w:tc>
          <w:tcPr>
            <w:tcW w:type="dxa" w:w="2484"/>
            <w:vAlign w:val="center"/>
          </w:tcPr>
          <w:p>
            <w:pPr>
              <w:spacing w:after="0"/>
            </w:pPr>
            <w:r>
              <w:rPr>
                <w:sz w:val="17"/>
              </w:rPr>
              <w:t>Une mémoire capacitaire peut subsister après restauration des observables.</w:t>
            </w:r>
          </w:p>
        </w:tc>
        <w:tc>
          <w:tcPr>
            <w:tcW w:type="dxa" w:w="2484"/>
            <w:vAlign w:val="center"/>
          </w:tcPr>
          <w:p>
            <w:pPr>
              <w:spacing w:after="0"/>
            </w:pPr>
            <w:r>
              <w:rPr>
                <w:sz w:val="17"/>
              </w:rPr>
              <w:t>Boucle x0→x1→x0′ avec O(x0′)=O(x0), puis comparer C_R.</w:t>
            </w:r>
          </w:p>
        </w:tc>
        <w:tc>
          <w:tcPr>
            <w:tcW w:type="dxa" w:w="2484"/>
            <w:vAlign w:val="center"/>
          </w:tcPr>
          <w:p>
            <w:pPr>
              <w:spacing w:after="0"/>
            </w:pPr>
            <w:r>
              <w:rPr>
                <w:sz w:val="17"/>
              </w:rPr>
              <w:t>Toute différence disparaît sous une notion d’équivalence pertinente.</w:t>
            </w:r>
          </w:p>
        </w:tc>
      </w:tr>
      <w:tr>
        <w:tc>
          <w:tcPr>
            <w:tcW w:type="dxa" w:w="2484"/>
            <w:vAlign w:val="center"/>
          </w:tcPr>
          <w:p>
            <w:pPr>
              <w:spacing w:after="0"/>
            </w:pPr>
            <w:r>
              <w:rPr>
                <w:sz w:val="17"/>
              </w:rPr>
              <w:t>H6</w:t>
            </w:r>
          </w:p>
        </w:tc>
        <w:tc>
          <w:tcPr>
            <w:tcW w:type="dxa" w:w="2484"/>
            <w:vAlign w:val="center"/>
          </w:tcPr>
          <w:p>
            <w:pPr>
              <w:spacing w:after="0"/>
            </w:pPr>
            <w:r>
              <w:rPr>
                <w:sz w:val="17"/>
              </w:rPr>
              <w:t>Il faut distinguer irréversibilité destructive et générative.</w:t>
            </w:r>
          </w:p>
        </w:tc>
        <w:tc>
          <w:tcPr>
            <w:tcW w:type="dxa" w:w="2484"/>
            <w:vAlign w:val="center"/>
          </w:tcPr>
          <w:p>
            <w:pPr>
              <w:spacing w:after="0"/>
            </w:pPr>
            <w:r>
              <w:rPr>
                <w:sz w:val="17"/>
              </w:rPr>
              <w:t>Construire une transition qui ferme A et ouvre B, puis tester la dépendance causale.</w:t>
            </w:r>
          </w:p>
        </w:tc>
        <w:tc>
          <w:tcPr>
            <w:tcW w:type="dxa" w:w="2484"/>
            <w:vAlign w:val="center"/>
          </w:tcPr>
          <w:p>
            <w:pPr>
              <w:spacing w:after="0"/>
            </w:pPr>
            <w:r>
              <w:rPr>
                <w:sz w:val="17"/>
              </w:rPr>
              <w:t>Nouveauté B explicable sans la perte de A.</w:t>
            </w:r>
          </w:p>
        </w:tc>
      </w:tr>
    </w:tbl>
    <w:p/>
    <w:p>
      <w:pPr>
        <w:pStyle w:val="Heading2"/>
      </w:pPr>
      <w:r>
        <w:t>G.5 Jonction avec les transports</w:t>
      </w:r>
    </w:p>
    <w:p>
      <w:r>
        <w:t>La couche capacitaire ne doit pas absorber la théorie des transports. Descente, retour attendu, réciprocité, commutation et fuite transverse restent des défauts distincts. Dans une scission A:H_Q→H_q, B:H_q→H_Q avec AB=I, le projecteur P=BA sépare la partie reconstructible de Ker(A). La fuite (I−P)U_QP et l’influence inverse P U_Q(I−P) sont des observables structurales ; elles ne deviennent une courbure qu’après définition indépendante d’un transport attendu et justification d’une géométrisation.</w:t>
      </w:r>
    </w:p>
    <w:p>
      <w:pPr>
        <w:pStyle w:val="Heading2"/>
      </w:pPr>
      <w:r>
        <w:t>G.6 Programme doctoral immédiat</w:t>
      </w:r>
    </w:p>
    <w:p>
      <w:pPr>
        <w:pStyle w:val="ListNumber"/>
      </w:pPr>
      <w:r>
        <w:t>Formaliser l’ordre et les morphismes des fibres de réalisation avant toute montée catégorique supplémentaire.</w:t>
      </w:r>
    </w:p>
    <w:p>
      <w:pPr>
        <w:pStyle w:val="ListNumber"/>
      </w:pPr>
      <w:r>
        <w:t>Construire le prochain contre-test hostile : mêmes κ_C, ρ_C, multiplicité et profondeur de coupures, mais réponses différentes à une perturbation structurée ou à un transport.</w:t>
      </w:r>
    </w:p>
    <w:p>
      <w:pPr>
        <w:pStyle w:val="ListNumber"/>
      </w:pPr>
      <w:r>
        <w:t>Comparer explicitement réservance, viabilité, survivabilité, network interdiction, fault trees, resilience engineering et planification conforme.</w:t>
      </w:r>
    </w:p>
    <w:p>
      <w:pPr>
        <w:pStyle w:val="ListNumber"/>
      </w:pPr>
      <w:r>
        <w:t>Conserver la séparation entre prix global d’un recodage et coût one-shot d’un supplément ajouté à un code matérialisé.</w:t>
      </w:r>
    </w:p>
    <w:p>
      <w:pPr>
        <w:pStyle w:val="ListNumber"/>
      </w:pPr>
      <w:r>
        <w:t>Maintenir R1-3 conditionnel jusqu’à preuve de l’unicité élémentaire et des conditions de clôture.</w:t>
      </w:r>
    </w:p>
    <w:p>
      <w:pPr>
        <w:pStyle w:val="ListNumber"/>
      </w:pPr>
      <w:r>
        <w:t>Ne promouvoir aucun claim capacitaire sur la seule base d’une analogie cyber, physique ou philosophique.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RECONSTRUCTION, PROVENANCE ET REPRISE | v0.14-A | Consolidation du 21 août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RECONSTRUCTION, PROVENANCE ET REPRISE  ·  v0.14-A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Liberation Serif"/>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eastAsia="Liberation Sans"/>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eastAsia="Liberation Sans"/>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243436"/>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ans" w:hAnsi="Liberation Sans"/>
      <w:i/>
      <w:iCs/>
      <w:color w:val="6B6F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olidationNote">
    <w:name w:val="Consolidation Note"/>
    <w:pPr>
      <w:spacing w:after="160"/>
    </w:pPr>
    <w:rPr>
      <w:rFonts w:ascii="Aptos" w:hAnsi="Aptos"/>
      <w:b/>
      <w:color w:val="1F4E79"/>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Reconstruction, provenance et reprise — v0.13-A</dc:title>
  <dc:subject>État cumulatif le plus avancé — repositionnement scientifique et fibres de réalisation</dc:subject>
  <dc:creator>Alexandre Couret</dc:creator>
  <cp:keywords>reconstruction, provenance, reprise, noyaux, traces, capacité, non-canonicité</cp:keywords>
  <dc:description>Version v0.13-A consolidée le 28 juillet 2026.</dc:description>
  <cp:lastModifiedBy/>
  <cp:revision>1</cp:revision>
  <dcterms:created xsi:type="dcterms:W3CDTF">2013-12-23T23:15:00Z</dcterms:created>
  <dcterms:modified xsi:type="dcterms:W3CDTF">2013-12-23T23:15:00Z</dcterms:modified>
  <cp:category/>
</cp:coreProperties>
</file>